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AD4" w:rsidRPr="00CD6659" w:rsidRDefault="007A1AD4">
      <w:pPr>
        <w:rPr>
          <w:sz w:val="24"/>
          <w:szCs w:val="24"/>
        </w:rPr>
      </w:pPr>
    </w:p>
    <w:p w:rsidR="007A1AD4" w:rsidRPr="00CD6659" w:rsidRDefault="00CF5F8C" w:rsidP="00CF5F8C">
      <w:pPr>
        <w:jc w:val="center"/>
        <w:rPr>
          <w:b/>
          <w:sz w:val="24"/>
          <w:szCs w:val="24"/>
        </w:rPr>
      </w:pPr>
      <w:r w:rsidRPr="00CD6659">
        <w:rPr>
          <w:b/>
          <w:sz w:val="24"/>
          <w:szCs w:val="24"/>
        </w:rPr>
        <w:t>Hybrid Human Rights</w:t>
      </w:r>
    </w:p>
    <w:p w:rsidR="007A1AD4" w:rsidRPr="00CD6659" w:rsidRDefault="007A1AD4" w:rsidP="007A1AD4">
      <w:pPr>
        <w:pStyle w:val="ListParagraph"/>
        <w:numPr>
          <w:ilvl w:val="0"/>
          <w:numId w:val="1"/>
        </w:numPr>
        <w:rPr>
          <w:rFonts w:cstheme="minorHAnsi"/>
          <w:b/>
          <w:sz w:val="24"/>
          <w:szCs w:val="24"/>
        </w:rPr>
      </w:pPr>
      <w:r w:rsidRPr="00CD6659">
        <w:rPr>
          <w:rFonts w:cstheme="minorHAnsi"/>
          <w:b/>
          <w:sz w:val="24"/>
          <w:szCs w:val="24"/>
        </w:rPr>
        <w:t>Introduction</w:t>
      </w:r>
    </w:p>
    <w:p w:rsidR="00862807" w:rsidRDefault="007A1AD4" w:rsidP="007A1AD4">
      <w:pPr>
        <w:rPr>
          <w:rFonts w:cstheme="minorHAnsi"/>
          <w:sz w:val="24"/>
          <w:szCs w:val="24"/>
        </w:rPr>
      </w:pPr>
      <w:r w:rsidRPr="00CD6659">
        <w:rPr>
          <w:rFonts w:cstheme="minorHAnsi"/>
          <w:sz w:val="24"/>
          <w:szCs w:val="24"/>
        </w:rPr>
        <w:t xml:space="preserve">International human rights law </w:t>
      </w:r>
      <w:r w:rsidR="00862807">
        <w:rPr>
          <w:rFonts w:cstheme="minorHAnsi"/>
          <w:sz w:val="24"/>
          <w:szCs w:val="24"/>
        </w:rPr>
        <w:t>represents a broad range of ideologies, norms and cultures.</w:t>
      </w:r>
      <w:bookmarkStart w:id="0" w:name="_Ref375723958"/>
      <w:r w:rsidR="00A07FBF">
        <w:rPr>
          <w:rStyle w:val="FootnoteReference"/>
          <w:rFonts w:cstheme="minorHAnsi"/>
          <w:sz w:val="24"/>
          <w:szCs w:val="24"/>
        </w:rPr>
        <w:footnoteReference w:id="1"/>
      </w:r>
      <w:bookmarkEnd w:id="0"/>
      <w:r w:rsidR="00862807">
        <w:rPr>
          <w:rFonts w:cstheme="minorHAnsi"/>
          <w:sz w:val="24"/>
          <w:szCs w:val="24"/>
        </w:rPr>
        <w:t xml:space="preserve"> States are the main drivers of the creation and development of human rights. Countries, regional groups and political blocs use the international arena to promote their own </w:t>
      </w:r>
      <w:r w:rsidR="00B728DA">
        <w:rPr>
          <w:rFonts w:cstheme="minorHAnsi"/>
          <w:sz w:val="24"/>
          <w:szCs w:val="24"/>
        </w:rPr>
        <w:t>norms and values when creating new human rights law</w:t>
      </w:r>
      <w:r w:rsidR="00862807">
        <w:rPr>
          <w:rFonts w:cstheme="minorHAnsi"/>
          <w:sz w:val="24"/>
          <w:szCs w:val="24"/>
        </w:rPr>
        <w:t>.</w:t>
      </w:r>
      <w:r w:rsidR="005772CA">
        <w:rPr>
          <w:rFonts w:cstheme="minorHAnsi"/>
          <w:sz w:val="24"/>
          <w:szCs w:val="24"/>
        </w:rPr>
        <w:t xml:space="preserve"> At the international level, human rights develop through ‘soft law’ before becoming codified in treaties or enshrined through customary international law. States actively consent to being bound by obligation</w:t>
      </w:r>
      <w:r w:rsidR="00512C5B">
        <w:rPr>
          <w:rFonts w:cstheme="minorHAnsi"/>
          <w:sz w:val="24"/>
          <w:szCs w:val="24"/>
        </w:rPr>
        <w:t>s</w:t>
      </w:r>
      <w:r w:rsidR="005772CA">
        <w:rPr>
          <w:rFonts w:cstheme="minorHAnsi"/>
          <w:sz w:val="24"/>
          <w:szCs w:val="24"/>
        </w:rPr>
        <w:t xml:space="preserve"> contained within treaties or tacitly consent to being bound by customary international law. </w:t>
      </w:r>
      <w:r w:rsidR="00512C5B">
        <w:rPr>
          <w:rFonts w:cstheme="minorHAnsi"/>
          <w:sz w:val="24"/>
          <w:szCs w:val="24"/>
        </w:rPr>
        <w:t>Soft law is not legally binding</w:t>
      </w:r>
      <w:r w:rsidR="005772CA">
        <w:rPr>
          <w:rFonts w:cstheme="minorHAnsi"/>
          <w:sz w:val="24"/>
          <w:szCs w:val="24"/>
        </w:rPr>
        <w:t xml:space="preserve"> but is a crucial part of the process of creating and developing human rights. UN resolutions, decisions and declarations, amongst others, are key sources of soft law. Countries use discussions and votes within UN bodies to promote or resist the development of a particular human right. </w:t>
      </w:r>
      <w:r w:rsidR="00193B9E">
        <w:rPr>
          <w:rFonts w:cstheme="minorHAnsi"/>
          <w:sz w:val="24"/>
          <w:szCs w:val="24"/>
        </w:rPr>
        <w:t>G</w:t>
      </w:r>
      <w:r w:rsidR="00862807">
        <w:rPr>
          <w:rFonts w:cstheme="minorHAnsi"/>
          <w:sz w:val="24"/>
          <w:szCs w:val="24"/>
        </w:rPr>
        <w:t>lobal politics</w:t>
      </w:r>
      <w:r w:rsidR="00B728DA">
        <w:rPr>
          <w:rFonts w:cstheme="minorHAnsi"/>
          <w:sz w:val="24"/>
          <w:szCs w:val="24"/>
        </w:rPr>
        <w:t>, then,</w:t>
      </w:r>
      <w:r w:rsidR="00193B9E">
        <w:rPr>
          <w:rFonts w:cstheme="minorHAnsi"/>
          <w:sz w:val="24"/>
          <w:szCs w:val="24"/>
        </w:rPr>
        <w:t xml:space="preserve"> </w:t>
      </w:r>
      <w:r w:rsidR="00862807">
        <w:rPr>
          <w:rFonts w:cstheme="minorHAnsi"/>
          <w:sz w:val="24"/>
          <w:szCs w:val="24"/>
        </w:rPr>
        <w:t>play</w:t>
      </w:r>
      <w:r w:rsidR="00193B9E">
        <w:rPr>
          <w:rFonts w:cstheme="minorHAnsi"/>
          <w:sz w:val="24"/>
          <w:szCs w:val="24"/>
        </w:rPr>
        <w:t>s</w:t>
      </w:r>
      <w:r w:rsidR="00862807">
        <w:rPr>
          <w:rFonts w:cstheme="minorHAnsi"/>
          <w:sz w:val="24"/>
          <w:szCs w:val="24"/>
        </w:rPr>
        <w:t xml:space="preserve"> a significant role in the </w:t>
      </w:r>
      <w:r w:rsidR="005772CA">
        <w:rPr>
          <w:rFonts w:cstheme="minorHAnsi"/>
          <w:sz w:val="24"/>
          <w:szCs w:val="24"/>
        </w:rPr>
        <w:t xml:space="preserve">ideologies, norms and values that are represented through the creation and </w:t>
      </w:r>
      <w:r w:rsidR="00862807">
        <w:rPr>
          <w:rFonts w:cstheme="minorHAnsi"/>
          <w:sz w:val="24"/>
          <w:szCs w:val="24"/>
        </w:rPr>
        <w:t>development of</w:t>
      </w:r>
      <w:r w:rsidR="00B728DA">
        <w:rPr>
          <w:rFonts w:cstheme="minorHAnsi"/>
          <w:sz w:val="24"/>
          <w:szCs w:val="24"/>
        </w:rPr>
        <w:t xml:space="preserve"> </w:t>
      </w:r>
      <w:r w:rsidR="005772CA">
        <w:rPr>
          <w:rFonts w:cstheme="minorHAnsi"/>
          <w:sz w:val="24"/>
          <w:szCs w:val="24"/>
        </w:rPr>
        <w:t xml:space="preserve">human </w:t>
      </w:r>
      <w:r w:rsidR="00862807">
        <w:rPr>
          <w:rFonts w:cstheme="minorHAnsi"/>
          <w:sz w:val="24"/>
          <w:szCs w:val="24"/>
        </w:rPr>
        <w:t>rights.</w:t>
      </w:r>
      <w:r w:rsidR="00193B9E">
        <w:rPr>
          <w:rFonts w:cstheme="minorHAnsi"/>
          <w:sz w:val="24"/>
          <w:szCs w:val="24"/>
        </w:rPr>
        <w:t xml:space="preserve"> </w:t>
      </w:r>
      <w:r w:rsidR="00862807">
        <w:rPr>
          <w:rFonts w:cstheme="minorHAnsi"/>
          <w:sz w:val="24"/>
          <w:szCs w:val="24"/>
        </w:rPr>
        <w:t xml:space="preserve">  </w:t>
      </w:r>
    </w:p>
    <w:p w:rsidR="007A1AD4" w:rsidRPr="00CD6659" w:rsidRDefault="00862807" w:rsidP="007A1AD4">
      <w:pPr>
        <w:rPr>
          <w:rFonts w:cstheme="minorHAnsi"/>
          <w:sz w:val="24"/>
          <w:szCs w:val="24"/>
        </w:rPr>
      </w:pPr>
      <w:r>
        <w:rPr>
          <w:rFonts w:cstheme="minorHAnsi"/>
          <w:sz w:val="24"/>
          <w:szCs w:val="24"/>
        </w:rPr>
        <w:t xml:space="preserve">The international human rights law system </w:t>
      </w:r>
      <w:r w:rsidR="007A1AD4" w:rsidRPr="00CD6659">
        <w:rPr>
          <w:rFonts w:cstheme="minorHAnsi"/>
          <w:sz w:val="24"/>
          <w:szCs w:val="24"/>
        </w:rPr>
        <w:t xml:space="preserve">is not static; </w:t>
      </w:r>
      <w:r>
        <w:rPr>
          <w:rFonts w:cstheme="minorHAnsi"/>
          <w:sz w:val="24"/>
          <w:szCs w:val="24"/>
        </w:rPr>
        <w:t>rights are constantly evolving.</w:t>
      </w:r>
      <w:r w:rsidR="007A1AD4" w:rsidRPr="00CD6659">
        <w:rPr>
          <w:rFonts w:cstheme="minorHAnsi"/>
          <w:sz w:val="24"/>
          <w:szCs w:val="24"/>
        </w:rPr>
        <w:t xml:space="preserve"> </w:t>
      </w:r>
      <w:r w:rsidR="00B80641" w:rsidRPr="00CD6659">
        <w:rPr>
          <w:rFonts w:cstheme="minorHAnsi"/>
          <w:sz w:val="24"/>
          <w:szCs w:val="24"/>
        </w:rPr>
        <w:t xml:space="preserve">At </w:t>
      </w:r>
      <w:r w:rsidR="007A1AD4" w:rsidRPr="00CD6659">
        <w:rPr>
          <w:rFonts w:cstheme="minorHAnsi"/>
          <w:sz w:val="24"/>
          <w:szCs w:val="24"/>
        </w:rPr>
        <w:t>the beginning of the modern era</w:t>
      </w:r>
      <w:r w:rsidR="00512C5B">
        <w:rPr>
          <w:rFonts w:cstheme="minorHAnsi"/>
          <w:sz w:val="24"/>
          <w:szCs w:val="24"/>
        </w:rPr>
        <w:t xml:space="preserve"> of human rights</w:t>
      </w:r>
      <w:r w:rsidR="00B80641" w:rsidRPr="00CD6659">
        <w:rPr>
          <w:rFonts w:cstheme="minorHAnsi"/>
          <w:sz w:val="24"/>
          <w:szCs w:val="24"/>
        </w:rPr>
        <w:t xml:space="preserve">, </w:t>
      </w:r>
      <w:r w:rsidR="007A1AD4" w:rsidRPr="00CD6659">
        <w:rPr>
          <w:rFonts w:cstheme="minorHAnsi"/>
          <w:sz w:val="24"/>
          <w:szCs w:val="24"/>
        </w:rPr>
        <w:t xml:space="preserve">ideological battles centred upon the tensions and divisions </w:t>
      </w:r>
      <w:r w:rsidR="00B80641" w:rsidRPr="00CD6659">
        <w:rPr>
          <w:rFonts w:cstheme="minorHAnsi"/>
          <w:sz w:val="24"/>
          <w:szCs w:val="24"/>
        </w:rPr>
        <w:t xml:space="preserve">between </w:t>
      </w:r>
      <w:r w:rsidR="007A1AD4" w:rsidRPr="00CD6659">
        <w:rPr>
          <w:rFonts w:cstheme="minorHAnsi"/>
          <w:sz w:val="24"/>
          <w:szCs w:val="24"/>
        </w:rPr>
        <w:t xml:space="preserve">Civil and Political Rights and Economic, Social and Cultural Rights. </w:t>
      </w:r>
      <w:r>
        <w:rPr>
          <w:rFonts w:cstheme="minorHAnsi"/>
          <w:sz w:val="24"/>
          <w:szCs w:val="24"/>
        </w:rPr>
        <w:t xml:space="preserve">Those categories were promoted, respectively, by the West and the Soviet bloc during the Cold War. </w:t>
      </w:r>
      <w:r w:rsidR="007A1AD4" w:rsidRPr="00CD6659">
        <w:rPr>
          <w:rFonts w:cstheme="minorHAnsi"/>
          <w:sz w:val="24"/>
          <w:szCs w:val="24"/>
        </w:rPr>
        <w:t xml:space="preserve">The next significant evolution occurred with the advent of </w:t>
      </w:r>
      <w:r w:rsidR="00B80641" w:rsidRPr="00CD6659">
        <w:rPr>
          <w:rFonts w:cstheme="minorHAnsi"/>
          <w:sz w:val="24"/>
          <w:szCs w:val="24"/>
        </w:rPr>
        <w:t xml:space="preserve">‘Collective’ </w:t>
      </w:r>
      <w:r w:rsidR="007A1AD4" w:rsidRPr="00CD6659">
        <w:rPr>
          <w:rFonts w:cstheme="minorHAnsi"/>
          <w:sz w:val="24"/>
          <w:szCs w:val="24"/>
        </w:rPr>
        <w:t>or ‘Peoples</w:t>
      </w:r>
      <w:r w:rsidR="00B80641" w:rsidRPr="00CD6659">
        <w:rPr>
          <w:rFonts w:cstheme="minorHAnsi"/>
          <w:sz w:val="24"/>
          <w:szCs w:val="24"/>
        </w:rPr>
        <w:t>’ Rights</w:t>
      </w:r>
      <w:bookmarkStart w:id="1" w:name="_Ref354514761"/>
      <w:r w:rsidR="00CD6659">
        <w:rPr>
          <w:rFonts w:cstheme="minorHAnsi"/>
          <w:sz w:val="24"/>
          <w:szCs w:val="24"/>
        </w:rPr>
        <w:t>,</w:t>
      </w:r>
      <w:r w:rsidR="007A1AD4" w:rsidRPr="00CD6659">
        <w:rPr>
          <w:rStyle w:val="FootnoteReference"/>
          <w:rFonts w:cstheme="minorHAnsi"/>
          <w:sz w:val="24"/>
          <w:szCs w:val="24"/>
        </w:rPr>
        <w:footnoteReference w:id="2"/>
      </w:r>
      <w:bookmarkEnd w:id="1"/>
      <w:r w:rsidR="00CD6659">
        <w:rPr>
          <w:rFonts w:cstheme="minorHAnsi"/>
          <w:sz w:val="24"/>
          <w:szCs w:val="24"/>
        </w:rPr>
        <w:t xml:space="preserve"> also known as Third Generation Rights.</w:t>
      </w:r>
      <w:r w:rsidR="007A1AD4" w:rsidRPr="00CD6659">
        <w:rPr>
          <w:rFonts w:cstheme="minorHAnsi"/>
          <w:sz w:val="24"/>
          <w:szCs w:val="24"/>
        </w:rPr>
        <w:t xml:space="preserve"> </w:t>
      </w:r>
      <w:r w:rsidR="00C903AD">
        <w:rPr>
          <w:rFonts w:cstheme="minorHAnsi"/>
          <w:sz w:val="24"/>
          <w:szCs w:val="24"/>
        </w:rPr>
        <w:t>The initial rights in this category</w:t>
      </w:r>
      <w:r w:rsidR="00B80641" w:rsidRPr="00CD6659">
        <w:rPr>
          <w:rFonts w:cstheme="minorHAnsi"/>
          <w:sz w:val="24"/>
          <w:szCs w:val="24"/>
        </w:rPr>
        <w:t xml:space="preserve">, such as to self-determination, </w:t>
      </w:r>
      <w:r w:rsidR="00CD6659">
        <w:rPr>
          <w:rFonts w:cstheme="minorHAnsi"/>
          <w:sz w:val="24"/>
          <w:szCs w:val="24"/>
        </w:rPr>
        <w:t xml:space="preserve">are closely linked to decolonised states’ </w:t>
      </w:r>
      <w:r w:rsidR="007A1AD4" w:rsidRPr="00CD6659">
        <w:rPr>
          <w:rFonts w:cstheme="minorHAnsi"/>
          <w:sz w:val="24"/>
          <w:szCs w:val="24"/>
        </w:rPr>
        <w:t xml:space="preserve">mosaic of </w:t>
      </w:r>
      <w:r w:rsidR="00CD6659">
        <w:rPr>
          <w:rFonts w:cstheme="minorHAnsi"/>
          <w:sz w:val="24"/>
          <w:szCs w:val="24"/>
        </w:rPr>
        <w:t xml:space="preserve">imperial </w:t>
      </w:r>
      <w:r w:rsidR="007A1AD4" w:rsidRPr="00CD6659">
        <w:rPr>
          <w:rFonts w:cstheme="minorHAnsi"/>
          <w:sz w:val="24"/>
          <w:szCs w:val="24"/>
        </w:rPr>
        <w:t>experiences.</w:t>
      </w:r>
      <w:r w:rsidR="00B728DA">
        <w:rPr>
          <w:rFonts w:cstheme="minorHAnsi"/>
          <w:sz w:val="24"/>
          <w:szCs w:val="24"/>
        </w:rPr>
        <w:t xml:space="preserve"> </w:t>
      </w:r>
      <w:r w:rsidR="00B80641" w:rsidRPr="00CD6659">
        <w:rPr>
          <w:rFonts w:cstheme="minorHAnsi"/>
          <w:sz w:val="24"/>
          <w:szCs w:val="24"/>
        </w:rPr>
        <w:t>The</w:t>
      </w:r>
      <w:r w:rsidR="00CD6659">
        <w:rPr>
          <w:rFonts w:cstheme="minorHAnsi"/>
          <w:sz w:val="24"/>
          <w:szCs w:val="24"/>
        </w:rPr>
        <w:t>re is another</w:t>
      </w:r>
      <w:r w:rsidR="00193B9E">
        <w:rPr>
          <w:rFonts w:cstheme="minorHAnsi"/>
          <w:sz w:val="24"/>
          <w:szCs w:val="24"/>
        </w:rPr>
        <w:t xml:space="preserve"> </w:t>
      </w:r>
      <w:r w:rsidR="00CD6659">
        <w:rPr>
          <w:rFonts w:cstheme="minorHAnsi"/>
          <w:sz w:val="24"/>
          <w:szCs w:val="24"/>
        </w:rPr>
        <w:t xml:space="preserve">group of rights </w:t>
      </w:r>
      <w:r w:rsidR="00193B9E">
        <w:rPr>
          <w:rFonts w:cstheme="minorHAnsi"/>
          <w:sz w:val="24"/>
          <w:szCs w:val="24"/>
        </w:rPr>
        <w:t>that has evolved</w:t>
      </w:r>
      <w:r w:rsidR="00CD6659">
        <w:rPr>
          <w:rFonts w:cstheme="minorHAnsi"/>
          <w:sz w:val="24"/>
          <w:szCs w:val="24"/>
        </w:rPr>
        <w:t xml:space="preserve"> </w:t>
      </w:r>
      <w:r w:rsidR="00193B9E">
        <w:rPr>
          <w:rFonts w:cstheme="minorHAnsi"/>
          <w:sz w:val="24"/>
          <w:szCs w:val="24"/>
        </w:rPr>
        <w:t xml:space="preserve">under </w:t>
      </w:r>
      <w:r w:rsidR="00CD6659">
        <w:rPr>
          <w:rFonts w:cstheme="minorHAnsi"/>
          <w:sz w:val="24"/>
          <w:szCs w:val="24"/>
        </w:rPr>
        <w:t xml:space="preserve">the </w:t>
      </w:r>
      <w:r w:rsidR="00193B9E">
        <w:rPr>
          <w:rFonts w:cstheme="minorHAnsi"/>
          <w:sz w:val="24"/>
          <w:szCs w:val="24"/>
        </w:rPr>
        <w:t xml:space="preserve">broader umbrella </w:t>
      </w:r>
      <w:r w:rsidR="00CD6659">
        <w:rPr>
          <w:rFonts w:cstheme="minorHAnsi"/>
          <w:sz w:val="24"/>
          <w:szCs w:val="24"/>
        </w:rPr>
        <w:t>of Third Generation Rights</w:t>
      </w:r>
      <w:r w:rsidR="00193B9E">
        <w:rPr>
          <w:rFonts w:cstheme="minorHAnsi"/>
          <w:sz w:val="24"/>
          <w:szCs w:val="24"/>
        </w:rPr>
        <w:t>. Those rights</w:t>
      </w:r>
      <w:r w:rsidR="00CD6659">
        <w:rPr>
          <w:rFonts w:cstheme="minorHAnsi"/>
          <w:sz w:val="24"/>
          <w:szCs w:val="24"/>
        </w:rPr>
        <w:t xml:space="preserve"> are not simply a reaction to colonialism</w:t>
      </w:r>
      <w:r w:rsidR="00193B9E">
        <w:rPr>
          <w:rFonts w:cstheme="minorHAnsi"/>
          <w:sz w:val="24"/>
          <w:szCs w:val="24"/>
        </w:rPr>
        <w:t xml:space="preserve"> but </w:t>
      </w:r>
      <w:r w:rsidR="00B728DA">
        <w:rPr>
          <w:rFonts w:cstheme="minorHAnsi"/>
          <w:sz w:val="24"/>
          <w:szCs w:val="24"/>
        </w:rPr>
        <w:t xml:space="preserve">instead </w:t>
      </w:r>
      <w:r w:rsidR="00193B9E">
        <w:rPr>
          <w:rFonts w:cstheme="minorHAnsi"/>
          <w:sz w:val="24"/>
          <w:szCs w:val="24"/>
        </w:rPr>
        <w:t xml:space="preserve">promote ideologies and norms of countries that did not have a voice during </w:t>
      </w:r>
      <w:r w:rsidR="00B728DA">
        <w:rPr>
          <w:rFonts w:cstheme="minorHAnsi"/>
          <w:sz w:val="24"/>
          <w:szCs w:val="24"/>
        </w:rPr>
        <w:t xml:space="preserve">the </w:t>
      </w:r>
      <w:r w:rsidR="00193B9E">
        <w:rPr>
          <w:rFonts w:cstheme="minorHAnsi"/>
          <w:sz w:val="24"/>
          <w:szCs w:val="24"/>
        </w:rPr>
        <w:t>initial development of international human rights</w:t>
      </w:r>
      <w:r w:rsidR="00CD6659">
        <w:rPr>
          <w:rFonts w:cstheme="minorHAnsi"/>
          <w:sz w:val="24"/>
          <w:szCs w:val="24"/>
        </w:rPr>
        <w:t>.</w:t>
      </w:r>
      <w:r w:rsidR="00193B9E">
        <w:rPr>
          <w:rFonts w:cstheme="minorHAnsi"/>
          <w:sz w:val="24"/>
          <w:szCs w:val="24"/>
        </w:rPr>
        <w:t xml:space="preserve"> Those countries include decolonised states alongside other, formerly weaker</w:t>
      </w:r>
      <w:r w:rsidR="00B728DA">
        <w:rPr>
          <w:rFonts w:cstheme="minorHAnsi"/>
          <w:sz w:val="24"/>
          <w:szCs w:val="24"/>
        </w:rPr>
        <w:t>,</w:t>
      </w:r>
      <w:r w:rsidR="00193B9E">
        <w:rPr>
          <w:rFonts w:cstheme="minorHAnsi"/>
          <w:sz w:val="24"/>
          <w:szCs w:val="24"/>
        </w:rPr>
        <w:t xml:space="preserve"> countries from Latin America and Asia.</w:t>
      </w:r>
      <w:r w:rsidR="00CD6659">
        <w:rPr>
          <w:rFonts w:cstheme="minorHAnsi"/>
          <w:sz w:val="24"/>
          <w:szCs w:val="24"/>
        </w:rPr>
        <w:t xml:space="preserve"> The theory of ‘h</w:t>
      </w:r>
      <w:r w:rsidR="007A1AD4" w:rsidRPr="00CD6659">
        <w:rPr>
          <w:rFonts w:cstheme="minorHAnsi"/>
          <w:sz w:val="24"/>
          <w:szCs w:val="24"/>
        </w:rPr>
        <w:t>ybridity’ can be utilised to understan</w:t>
      </w:r>
      <w:r w:rsidR="00CD6659">
        <w:rPr>
          <w:rFonts w:cstheme="minorHAnsi"/>
          <w:sz w:val="24"/>
          <w:szCs w:val="24"/>
        </w:rPr>
        <w:t xml:space="preserve">d </w:t>
      </w:r>
      <w:r w:rsidR="00193B9E">
        <w:rPr>
          <w:rFonts w:cstheme="minorHAnsi"/>
          <w:sz w:val="24"/>
          <w:szCs w:val="24"/>
        </w:rPr>
        <w:t xml:space="preserve">these rights. Hybridity enables understanding of </w:t>
      </w:r>
      <w:r w:rsidR="00CD6659">
        <w:rPr>
          <w:rFonts w:cstheme="minorHAnsi"/>
          <w:sz w:val="24"/>
          <w:szCs w:val="24"/>
        </w:rPr>
        <w:t xml:space="preserve">the ideologies upon which </w:t>
      </w:r>
      <w:r w:rsidR="00193B9E">
        <w:rPr>
          <w:rFonts w:cstheme="minorHAnsi"/>
          <w:sz w:val="24"/>
          <w:szCs w:val="24"/>
        </w:rPr>
        <w:t xml:space="preserve">they </w:t>
      </w:r>
      <w:r w:rsidR="007A1AD4" w:rsidRPr="00CD6659">
        <w:rPr>
          <w:rFonts w:cstheme="minorHAnsi"/>
          <w:sz w:val="24"/>
          <w:szCs w:val="24"/>
        </w:rPr>
        <w:t>are based, the processes through which they are created</w:t>
      </w:r>
      <w:r w:rsidR="00193B9E">
        <w:rPr>
          <w:rFonts w:cstheme="minorHAnsi"/>
          <w:sz w:val="24"/>
          <w:szCs w:val="24"/>
        </w:rPr>
        <w:t>,</w:t>
      </w:r>
      <w:r w:rsidR="007A1AD4" w:rsidRPr="00CD6659">
        <w:rPr>
          <w:rFonts w:cstheme="minorHAnsi"/>
          <w:sz w:val="24"/>
          <w:szCs w:val="24"/>
        </w:rPr>
        <w:t xml:space="preserve"> as well as the rights themselves.  </w:t>
      </w:r>
    </w:p>
    <w:p w:rsidR="00E1435D" w:rsidRDefault="007A1AD4" w:rsidP="007A1AD4">
      <w:pPr>
        <w:rPr>
          <w:rFonts w:cstheme="minorHAnsi"/>
          <w:sz w:val="24"/>
          <w:szCs w:val="24"/>
        </w:rPr>
      </w:pPr>
      <w:r w:rsidRPr="00CD6659">
        <w:rPr>
          <w:rFonts w:cstheme="minorHAnsi"/>
          <w:sz w:val="24"/>
          <w:szCs w:val="24"/>
        </w:rPr>
        <w:t>Hybridity occurs where there is resistance to domination</w:t>
      </w:r>
      <w:r w:rsidR="00512C5B">
        <w:rPr>
          <w:rFonts w:cstheme="minorHAnsi"/>
          <w:sz w:val="24"/>
          <w:szCs w:val="24"/>
        </w:rPr>
        <w:t xml:space="preserve">. </w:t>
      </w:r>
      <w:proofErr w:type="spellStart"/>
      <w:r w:rsidR="00512C5B">
        <w:rPr>
          <w:rFonts w:cstheme="minorHAnsi"/>
          <w:sz w:val="24"/>
          <w:szCs w:val="24"/>
        </w:rPr>
        <w:t>Bhabha</w:t>
      </w:r>
      <w:proofErr w:type="spellEnd"/>
      <w:r w:rsidR="00512C5B">
        <w:rPr>
          <w:rFonts w:cstheme="minorHAnsi"/>
          <w:sz w:val="24"/>
          <w:szCs w:val="24"/>
        </w:rPr>
        <w:t xml:space="preserve"> insists </w:t>
      </w:r>
      <w:r w:rsidR="00115CB3" w:rsidRPr="00CD6659">
        <w:rPr>
          <w:rFonts w:cstheme="minorHAnsi"/>
          <w:sz w:val="24"/>
          <w:szCs w:val="24"/>
        </w:rPr>
        <w:t>that it occurs within the ‘Third Space’</w:t>
      </w:r>
      <w:bookmarkStart w:id="2" w:name="_Ref375723114"/>
      <w:r w:rsidR="00115CB3" w:rsidRPr="00CD6659">
        <w:rPr>
          <w:rStyle w:val="FootnoteReference"/>
          <w:rFonts w:cstheme="minorHAnsi"/>
          <w:sz w:val="24"/>
          <w:szCs w:val="24"/>
        </w:rPr>
        <w:footnoteReference w:id="3"/>
      </w:r>
      <w:bookmarkEnd w:id="2"/>
      <w:r w:rsidR="00115CB3" w:rsidRPr="00CD6659">
        <w:rPr>
          <w:rFonts w:cstheme="minorHAnsi"/>
          <w:sz w:val="24"/>
          <w:szCs w:val="24"/>
        </w:rPr>
        <w:t xml:space="preserve"> that exists between the dominant and the dominated; the coloniser and the colonised. That space may be a metaphor or a place; it is the ‘contact zone’</w:t>
      </w:r>
      <w:r w:rsidR="00115CB3" w:rsidRPr="00CD6659">
        <w:rPr>
          <w:rStyle w:val="FootnoteReference"/>
          <w:rFonts w:cstheme="minorHAnsi"/>
          <w:sz w:val="24"/>
          <w:szCs w:val="24"/>
        </w:rPr>
        <w:footnoteReference w:id="4"/>
      </w:r>
      <w:r w:rsidR="00115CB3" w:rsidRPr="00CD6659">
        <w:rPr>
          <w:rFonts w:cstheme="minorHAnsi"/>
          <w:sz w:val="24"/>
          <w:szCs w:val="24"/>
        </w:rPr>
        <w:t xml:space="preserve"> produced by a power-imbalanced relationship</w:t>
      </w:r>
      <w:r w:rsidRPr="00CD6659">
        <w:rPr>
          <w:rFonts w:cstheme="minorHAnsi"/>
          <w:sz w:val="24"/>
          <w:szCs w:val="24"/>
        </w:rPr>
        <w:t>.</w:t>
      </w:r>
      <w:bookmarkStart w:id="3" w:name="_Ref353275049"/>
      <w:r w:rsidR="00115CB3" w:rsidRPr="00CD6659">
        <w:rPr>
          <w:rStyle w:val="FootnoteReference"/>
          <w:rFonts w:cstheme="minorHAnsi"/>
          <w:sz w:val="24"/>
          <w:szCs w:val="24"/>
        </w:rPr>
        <w:t xml:space="preserve"> </w:t>
      </w:r>
      <w:r w:rsidR="00115CB3" w:rsidRPr="00CD6659">
        <w:rPr>
          <w:rStyle w:val="FootnoteReference"/>
          <w:rFonts w:cstheme="minorHAnsi"/>
          <w:sz w:val="24"/>
          <w:szCs w:val="24"/>
        </w:rPr>
        <w:footnoteReference w:id="5"/>
      </w:r>
      <w:bookmarkEnd w:id="3"/>
      <w:r w:rsidR="00115CB3" w:rsidRPr="00CD6659">
        <w:rPr>
          <w:rFonts w:cstheme="minorHAnsi"/>
          <w:sz w:val="24"/>
          <w:szCs w:val="24"/>
        </w:rPr>
        <w:t xml:space="preserve"> </w:t>
      </w:r>
      <w:r w:rsidRPr="00CD6659">
        <w:rPr>
          <w:rFonts w:cstheme="minorHAnsi"/>
          <w:sz w:val="24"/>
          <w:szCs w:val="24"/>
        </w:rPr>
        <w:t>Resistance comes from the ‘local’,</w:t>
      </w:r>
      <w:bookmarkStart w:id="4" w:name="_Ref375833554"/>
      <w:r w:rsidR="00115CB3" w:rsidRPr="00CD6659">
        <w:rPr>
          <w:rStyle w:val="FootnoteReference"/>
          <w:rFonts w:cstheme="minorHAnsi"/>
          <w:sz w:val="24"/>
          <w:szCs w:val="24"/>
        </w:rPr>
        <w:footnoteReference w:id="6"/>
      </w:r>
      <w:bookmarkEnd w:id="4"/>
      <w:r w:rsidRPr="00CD6659">
        <w:rPr>
          <w:rFonts w:cstheme="minorHAnsi"/>
          <w:sz w:val="24"/>
          <w:szCs w:val="24"/>
        </w:rPr>
        <w:t xml:space="preserve"> </w:t>
      </w:r>
      <w:r w:rsidRPr="00CD6659">
        <w:rPr>
          <w:rFonts w:cstheme="minorHAnsi"/>
          <w:sz w:val="24"/>
          <w:szCs w:val="24"/>
        </w:rPr>
        <w:lastRenderedPageBreak/>
        <w:t>used not in the parochial sense but to mean the space created ‘in which</w:t>
      </w:r>
      <w:r w:rsidR="00E1435D">
        <w:rPr>
          <w:rFonts w:cstheme="minorHAnsi"/>
          <w:sz w:val="24"/>
          <w:szCs w:val="24"/>
        </w:rPr>
        <w:t xml:space="preserve"> everyday practices are used’. Indeed, t</w:t>
      </w:r>
      <w:r w:rsidRPr="00CD6659">
        <w:rPr>
          <w:rFonts w:cstheme="minorHAnsi"/>
          <w:sz w:val="24"/>
          <w:szCs w:val="24"/>
        </w:rPr>
        <w:t>he local may exist at the national, transnational or global levels.</w:t>
      </w:r>
      <w:bookmarkStart w:id="5" w:name="_Ref354513904"/>
      <w:r w:rsidRPr="00CD6659">
        <w:rPr>
          <w:rStyle w:val="FootnoteReference"/>
          <w:rFonts w:cstheme="minorHAnsi"/>
          <w:sz w:val="24"/>
          <w:szCs w:val="24"/>
        </w:rPr>
        <w:footnoteReference w:id="7"/>
      </w:r>
      <w:bookmarkEnd w:id="5"/>
      <w:r w:rsidRPr="00CD6659">
        <w:rPr>
          <w:rFonts w:cstheme="minorHAnsi"/>
          <w:sz w:val="24"/>
          <w:szCs w:val="24"/>
        </w:rPr>
        <w:t xml:space="preserve"> Hybridity, then, is not based upon the merging of two entities; rather it occurs through the processes of resistance and adaptation on both sides. What emerges is not a mixing of the two, but a third entity that challenges the dominant –</w:t>
      </w:r>
      <w:r w:rsidR="00BD0B5A">
        <w:rPr>
          <w:rFonts w:cstheme="minorHAnsi"/>
          <w:sz w:val="24"/>
          <w:szCs w:val="24"/>
        </w:rPr>
        <w:t xml:space="preserve"> </w:t>
      </w:r>
      <w:r w:rsidRPr="00CD6659">
        <w:rPr>
          <w:rFonts w:cstheme="minorHAnsi"/>
          <w:sz w:val="24"/>
          <w:szCs w:val="24"/>
        </w:rPr>
        <w:t>substantively or ideologically – whilst simultaneously incorporating norms and values from both. It goes beyond ‘mimicry’ or repetition of the dominant order, instead becoming ‘an uncertainty which fixes the colonial subject as a partial presence’.</w:t>
      </w:r>
      <w:bookmarkStart w:id="6" w:name="_Ref354513778"/>
      <w:r w:rsidRPr="00CD6659">
        <w:rPr>
          <w:rStyle w:val="FootnoteReference"/>
          <w:rFonts w:cstheme="minorHAnsi"/>
          <w:sz w:val="24"/>
          <w:szCs w:val="24"/>
        </w:rPr>
        <w:footnoteReference w:id="8"/>
      </w:r>
      <w:bookmarkEnd w:id="6"/>
      <w:r w:rsidRPr="00CD6659">
        <w:rPr>
          <w:rFonts w:cstheme="minorHAnsi"/>
          <w:sz w:val="24"/>
          <w:szCs w:val="24"/>
        </w:rPr>
        <w:t xml:space="preserve"> </w:t>
      </w:r>
    </w:p>
    <w:p w:rsidR="007A1AD4" w:rsidRPr="00CD6659" w:rsidRDefault="00E1435D" w:rsidP="007A1AD4">
      <w:pPr>
        <w:rPr>
          <w:rFonts w:cstheme="minorHAnsi"/>
          <w:sz w:val="24"/>
          <w:szCs w:val="24"/>
        </w:rPr>
      </w:pPr>
      <w:r>
        <w:rPr>
          <w:rFonts w:cstheme="minorHAnsi"/>
          <w:sz w:val="24"/>
          <w:szCs w:val="24"/>
        </w:rPr>
        <w:t>Universalists, often advancing a globalisation theory, ‘assume an increasing homogenization of the world’;</w:t>
      </w:r>
      <w:bookmarkStart w:id="7" w:name="_Ref375833079"/>
      <w:r>
        <w:rPr>
          <w:rStyle w:val="FootnoteReference"/>
          <w:rFonts w:cstheme="minorHAnsi"/>
          <w:sz w:val="24"/>
          <w:szCs w:val="24"/>
        </w:rPr>
        <w:footnoteReference w:id="9"/>
      </w:r>
      <w:bookmarkEnd w:id="7"/>
      <w:r>
        <w:rPr>
          <w:rFonts w:cstheme="minorHAnsi"/>
          <w:sz w:val="24"/>
          <w:szCs w:val="24"/>
        </w:rPr>
        <w:t xml:space="preserve"> while cultural relativists, frequently relying on post-colonial discourses, ‘posit notions of difference and resistance’</w:t>
      </w:r>
      <w:r>
        <w:rPr>
          <w:rStyle w:val="FootnoteReference"/>
          <w:rFonts w:cstheme="minorHAnsi"/>
          <w:sz w:val="24"/>
          <w:szCs w:val="24"/>
        </w:rPr>
        <w:footnoteReference w:id="10"/>
      </w:r>
      <w:r>
        <w:rPr>
          <w:rFonts w:cstheme="minorHAnsi"/>
          <w:sz w:val="24"/>
          <w:szCs w:val="24"/>
        </w:rPr>
        <w:t xml:space="preserve"> in the relationships between the Global North and South. Hybridity is a</w:t>
      </w:r>
      <w:r w:rsidRPr="00CD6659">
        <w:rPr>
          <w:rFonts w:cstheme="minorHAnsi"/>
          <w:sz w:val="24"/>
          <w:szCs w:val="24"/>
        </w:rPr>
        <w:t>n alternative both to globalisation</w:t>
      </w:r>
      <w:r>
        <w:rPr>
          <w:rFonts w:cstheme="minorHAnsi"/>
          <w:sz w:val="24"/>
          <w:szCs w:val="24"/>
        </w:rPr>
        <w:t xml:space="preserve"> and </w:t>
      </w:r>
      <w:r w:rsidRPr="00CD6659">
        <w:rPr>
          <w:rFonts w:cstheme="minorHAnsi"/>
          <w:sz w:val="24"/>
          <w:szCs w:val="24"/>
        </w:rPr>
        <w:t>post-colonial discourses,</w:t>
      </w:r>
      <w:bookmarkStart w:id="8" w:name="_Ref353274918"/>
      <w:r w:rsidRPr="00CD6659">
        <w:rPr>
          <w:rStyle w:val="FootnoteReference"/>
          <w:rFonts w:cstheme="minorHAnsi"/>
          <w:sz w:val="24"/>
          <w:szCs w:val="24"/>
        </w:rPr>
        <w:footnoteReference w:id="11"/>
      </w:r>
      <w:bookmarkEnd w:id="8"/>
      <w:r w:rsidRPr="00CD6659">
        <w:rPr>
          <w:rFonts w:cstheme="minorHAnsi"/>
          <w:sz w:val="24"/>
          <w:szCs w:val="24"/>
        </w:rPr>
        <w:t xml:space="preserve"> </w:t>
      </w:r>
      <w:r>
        <w:rPr>
          <w:rFonts w:cstheme="minorHAnsi"/>
          <w:sz w:val="24"/>
          <w:szCs w:val="24"/>
        </w:rPr>
        <w:t xml:space="preserve">moving away from </w:t>
      </w:r>
      <w:r w:rsidRPr="00CD6659">
        <w:rPr>
          <w:rFonts w:cstheme="minorHAnsi"/>
          <w:sz w:val="24"/>
          <w:szCs w:val="24"/>
        </w:rPr>
        <w:t xml:space="preserve">the binaries </w:t>
      </w:r>
      <w:r>
        <w:rPr>
          <w:rFonts w:cstheme="minorHAnsi"/>
          <w:sz w:val="24"/>
          <w:szCs w:val="24"/>
        </w:rPr>
        <w:t xml:space="preserve">that exist in those theories and </w:t>
      </w:r>
      <w:r w:rsidR="007A1AD4" w:rsidRPr="00CD6659">
        <w:rPr>
          <w:rFonts w:cstheme="minorHAnsi"/>
          <w:sz w:val="24"/>
          <w:szCs w:val="24"/>
        </w:rPr>
        <w:t>‘towards thinking about the multiplicity of outcomes that might occur when two entities meet and interact.’</w:t>
      </w:r>
      <w:bookmarkStart w:id="9" w:name="_Ref354513814"/>
      <w:r w:rsidR="007A1AD4" w:rsidRPr="00CD6659">
        <w:rPr>
          <w:rStyle w:val="FootnoteReference"/>
          <w:rFonts w:cstheme="minorHAnsi"/>
          <w:sz w:val="24"/>
          <w:szCs w:val="24"/>
        </w:rPr>
        <w:footnoteReference w:id="12"/>
      </w:r>
      <w:bookmarkEnd w:id="9"/>
      <w:r w:rsidR="007A1AD4" w:rsidRPr="00CD6659">
        <w:rPr>
          <w:rFonts w:cstheme="minorHAnsi"/>
          <w:sz w:val="24"/>
          <w:szCs w:val="24"/>
        </w:rPr>
        <w:t xml:space="preserve"> The interaction is </w:t>
      </w:r>
      <w:proofErr w:type="gramStart"/>
      <w:r w:rsidR="007A1AD4" w:rsidRPr="00CD6659">
        <w:rPr>
          <w:rFonts w:cstheme="minorHAnsi"/>
          <w:sz w:val="24"/>
          <w:szCs w:val="24"/>
        </w:rPr>
        <w:t>key</w:t>
      </w:r>
      <w:proofErr w:type="gramEnd"/>
      <w:r w:rsidR="007A1AD4" w:rsidRPr="00CD6659">
        <w:rPr>
          <w:rFonts w:cstheme="minorHAnsi"/>
          <w:sz w:val="24"/>
          <w:szCs w:val="24"/>
        </w:rPr>
        <w:t>, particularly the different level of resistance within each relationship resulting in challenges to the dominant framework tha</w:t>
      </w:r>
      <w:r w:rsidR="00115CB3" w:rsidRPr="00CD6659">
        <w:rPr>
          <w:rFonts w:cstheme="minorHAnsi"/>
          <w:sz w:val="24"/>
          <w:szCs w:val="24"/>
        </w:rPr>
        <w:t xml:space="preserve">t necessarily incorporate ideas, </w:t>
      </w:r>
      <w:r w:rsidR="007A1AD4" w:rsidRPr="00CD6659">
        <w:rPr>
          <w:rFonts w:cstheme="minorHAnsi"/>
          <w:sz w:val="24"/>
          <w:szCs w:val="24"/>
        </w:rPr>
        <w:t xml:space="preserve">norms </w:t>
      </w:r>
      <w:r w:rsidR="00115CB3" w:rsidRPr="00CD6659">
        <w:rPr>
          <w:rFonts w:cstheme="minorHAnsi"/>
          <w:sz w:val="24"/>
          <w:szCs w:val="24"/>
        </w:rPr>
        <w:t xml:space="preserve">and customs </w:t>
      </w:r>
      <w:r w:rsidR="007A1AD4" w:rsidRPr="00CD6659">
        <w:rPr>
          <w:rFonts w:cstheme="minorHAnsi"/>
          <w:sz w:val="24"/>
          <w:szCs w:val="24"/>
        </w:rPr>
        <w:t>from the local and external entities.</w:t>
      </w:r>
    </w:p>
    <w:p w:rsidR="007A1AD4" w:rsidRPr="00CD6659" w:rsidRDefault="007A1AD4" w:rsidP="007A1AD4">
      <w:pPr>
        <w:rPr>
          <w:rFonts w:cstheme="minorHAnsi"/>
          <w:b/>
          <w:sz w:val="24"/>
          <w:szCs w:val="24"/>
        </w:rPr>
      </w:pPr>
      <w:r w:rsidRPr="00CD6659">
        <w:rPr>
          <w:rFonts w:cstheme="minorHAnsi"/>
          <w:sz w:val="24"/>
          <w:szCs w:val="24"/>
        </w:rPr>
        <w:t>The impact of non-Western constructs on international law has traditionally been explored through post-Marxist discourses, particularly post-colonialism. Hybridity is a relatively new lens through which these issues can be viewed. The theory has roots within classics and the humanities but has only recently been applied within social sciences and legal frameworks, albeit using case studies from the local, national or regional, level. It is clear that ideological, political, and legal discourses are crucial for understanding current changes to, or attempts to change, international human rights law. The shift in global power and politics has underscored the need to represent hybrid constructs within international law. The international legal system is moving in this direction, with peace-building and interventions, for example, beginning to represent heterogeneous norms that incorporate African,</w:t>
      </w:r>
      <w:bookmarkStart w:id="10" w:name="_Ref354514277"/>
      <w:r w:rsidRPr="00CD6659">
        <w:rPr>
          <w:rStyle w:val="FootnoteReference"/>
          <w:rFonts w:cstheme="minorHAnsi"/>
          <w:sz w:val="24"/>
          <w:szCs w:val="24"/>
        </w:rPr>
        <w:footnoteReference w:id="13"/>
      </w:r>
      <w:bookmarkEnd w:id="10"/>
      <w:r w:rsidRPr="00CD6659">
        <w:rPr>
          <w:rFonts w:cstheme="minorHAnsi"/>
          <w:sz w:val="24"/>
          <w:szCs w:val="24"/>
        </w:rPr>
        <w:t xml:space="preserve"> </w:t>
      </w:r>
      <w:r w:rsidRPr="00CD6659">
        <w:rPr>
          <w:rFonts w:cstheme="minorHAnsi"/>
          <w:sz w:val="24"/>
          <w:szCs w:val="24"/>
        </w:rPr>
        <w:lastRenderedPageBreak/>
        <w:t>Asian</w:t>
      </w:r>
      <w:bookmarkStart w:id="11" w:name="_Ref354514485"/>
      <w:r w:rsidRPr="00CD6659">
        <w:rPr>
          <w:rStyle w:val="FootnoteReference"/>
          <w:rFonts w:cstheme="minorHAnsi"/>
          <w:sz w:val="24"/>
          <w:szCs w:val="24"/>
        </w:rPr>
        <w:footnoteReference w:id="14"/>
      </w:r>
      <w:bookmarkEnd w:id="11"/>
      <w:r w:rsidRPr="00CD6659">
        <w:rPr>
          <w:rFonts w:cstheme="minorHAnsi"/>
          <w:sz w:val="24"/>
          <w:szCs w:val="24"/>
        </w:rPr>
        <w:t xml:space="preserve"> and Islamic</w:t>
      </w:r>
      <w:bookmarkStart w:id="12" w:name="_Ref354514537"/>
      <w:r w:rsidRPr="00CD6659">
        <w:rPr>
          <w:rStyle w:val="FootnoteReference"/>
          <w:rFonts w:cstheme="minorHAnsi"/>
          <w:sz w:val="24"/>
          <w:szCs w:val="24"/>
        </w:rPr>
        <w:footnoteReference w:id="15"/>
      </w:r>
      <w:bookmarkEnd w:id="12"/>
      <w:r w:rsidRPr="00CD6659">
        <w:rPr>
          <w:rFonts w:cstheme="minorHAnsi"/>
          <w:sz w:val="24"/>
          <w:szCs w:val="24"/>
        </w:rPr>
        <w:t xml:space="preserve"> ideologies and values on responsibilities, communities and social justice. </w:t>
      </w:r>
    </w:p>
    <w:p w:rsidR="007A1AD4" w:rsidRPr="00B728DA" w:rsidRDefault="007A1AD4" w:rsidP="007A1AD4">
      <w:pPr>
        <w:rPr>
          <w:rFonts w:cstheme="minorHAnsi"/>
          <w:sz w:val="24"/>
          <w:szCs w:val="24"/>
        </w:rPr>
      </w:pPr>
      <w:r w:rsidRPr="00CD6659">
        <w:rPr>
          <w:rFonts w:cstheme="minorHAnsi"/>
          <w:sz w:val="24"/>
          <w:szCs w:val="24"/>
        </w:rPr>
        <w:t xml:space="preserve">Significant literature has explored the ideologies underpinning international human rights law in relation to the </w:t>
      </w:r>
      <w:r w:rsidR="00E878BC">
        <w:rPr>
          <w:rFonts w:cstheme="minorHAnsi"/>
          <w:sz w:val="24"/>
          <w:szCs w:val="24"/>
        </w:rPr>
        <w:t xml:space="preserve">first two </w:t>
      </w:r>
      <w:r w:rsidRPr="00CD6659">
        <w:rPr>
          <w:rFonts w:cstheme="minorHAnsi"/>
          <w:sz w:val="24"/>
          <w:szCs w:val="24"/>
        </w:rPr>
        <w:t xml:space="preserve">categories, or ‘generations’, of rights. Much has been written on </w:t>
      </w:r>
      <w:r w:rsidR="00B03F32">
        <w:rPr>
          <w:rFonts w:cstheme="minorHAnsi"/>
          <w:sz w:val="24"/>
          <w:szCs w:val="24"/>
        </w:rPr>
        <w:t xml:space="preserve">the tensions between </w:t>
      </w:r>
      <w:r w:rsidR="00E878BC">
        <w:rPr>
          <w:rFonts w:cstheme="minorHAnsi"/>
          <w:sz w:val="24"/>
          <w:szCs w:val="24"/>
        </w:rPr>
        <w:t xml:space="preserve">Civil and Political Rights and Economic, Social and Cultural Rights. </w:t>
      </w:r>
      <w:r w:rsidRPr="00CD6659">
        <w:rPr>
          <w:rFonts w:cstheme="minorHAnsi"/>
          <w:sz w:val="24"/>
          <w:szCs w:val="24"/>
        </w:rPr>
        <w:t xml:space="preserve">Legal scholarship is yet to address systematically Third Generation Rights. </w:t>
      </w:r>
      <w:r w:rsidR="00AB5741" w:rsidRPr="00CD6659">
        <w:rPr>
          <w:rFonts w:cstheme="minorHAnsi"/>
          <w:sz w:val="24"/>
          <w:szCs w:val="24"/>
        </w:rPr>
        <w:t xml:space="preserve">Previous </w:t>
      </w:r>
      <w:r w:rsidR="00F21F62">
        <w:rPr>
          <w:rFonts w:cstheme="minorHAnsi"/>
          <w:sz w:val="24"/>
          <w:szCs w:val="24"/>
        </w:rPr>
        <w:t xml:space="preserve">work </w:t>
      </w:r>
      <w:r w:rsidR="00E878BC">
        <w:rPr>
          <w:rFonts w:cstheme="minorHAnsi"/>
          <w:sz w:val="24"/>
          <w:szCs w:val="24"/>
        </w:rPr>
        <w:t xml:space="preserve">on that category largely has been </w:t>
      </w:r>
      <w:r w:rsidR="00AB5741" w:rsidRPr="00CD6659">
        <w:rPr>
          <w:rFonts w:cstheme="minorHAnsi"/>
          <w:sz w:val="24"/>
          <w:szCs w:val="24"/>
        </w:rPr>
        <w:t>confined discussions to substantive rights</w:t>
      </w:r>
      <w:bookmarkStart w:id="13" w:name="_Ref354513702"/>
      <w:r w:rsidR="00AB5741" w:rsidRPr="00CD6659">
        <w:rPr>
          <w:rFonts w:cstheme="minorHAnsi"/>
          <w:sz w:val="24"/>
          <w:szCs w:val="24"/>
        </w:rPr>
        <w:t xml:space="preserve"> stemming from post-colonialism,</w:t>
      </w:r>
      <w:r w:rsidR="00AB5741" w:rsidRPr="00CD6659">
        <w:rPr>
          <w:rStyle w:val="FootnoteReference"/>
          <w:rFonts w:cstheme="minorHAnsi"/>
          <w:sz w:val="24"/>
          <w:szCs w:val="24"/>
        </w:rPr>
        <w:footnoteReference w:id="16"/>
      </w:r>
      <w:bookmarkEnd w:id="13"/>
      <w:r w:rsidR="00AB5741" w:rsidRPr="00CD6659">
        <w:rPr>
          <w:rFonts w:cstheme="minorHAnsi"/>
          <w:sz w:val="24"/>
          <w:szCs w:val="24"/>
        </w:rPr>
        <w:t xml:space="preserve"> which ignores </w:t>
      </w:r>
      <w:r w:rsidR="00E878BC">
        <w:rPr>
          <w:rFonts w:cstheme="minorHAnsi"/>
          <w:sz w:val="24"/>
          <w:szCs w:val="24"/>
        </w:rPr>
        <w:t xml:space="preserve">the </w:t>
      </w:r>
      <w:r w:rsidR="00AB5741" w:rsidRPr="00CD6659">
        <w:rPr>
          <w:rFonts w:cstheme="minorHAnsi"/>
          <w:sz w:val="24"/>
          <w:szCs w:val="24"/>
        </w:rPr>
        <w:t xml:space="preserve">many other </w:t>
      </w:r>
      <w:r w:rsidR="00E878BC">
        <w:rPr>
          <w:rFonts w:cstheme="minorHAnsi"/>
          <w:sz w:val="24"/>
          <w:szCs w:val="24"/>
        </w:rPr>
        <w:t>Third Generation R</w:t>
      </w:r>
      <w:r w:rsidR="00AB5741" w:rsidRPr="00CD6659">
        <w:rPr>
          <w:rFonts w:cstheme="minorHAnsi"/>
          <w:sz w:val="24"/>
          <w:szCs w:val="24"/>
        </w:rPr>
        <w:t xml:space="preserve">ights. </w:t>
      </w:r>
      <w:r w:rsidR="00B03F32">
        <w:rPr>
          <w:rFonts w:cstheme="minorHAnsi"/>
          <w:sz w:val="24"/>
          <w:szCs w:val="24"/>
        </w:rPr>
        <w:t>Development and implementation of hybrid rights</w:t>
      </w:r>
      <w:r w:rsidRPr="00CD6659">
        <w:rPr>
          <w:rFonts w:cstheme="minorHAnsi"/>
          <w:sz w:val="24"/>
          <w:szCs w:val="24"/>
        </w:rPr>
        <w:t xml:space="preserve"> are </w:t>
      </w:r>
      <w:r w:rsidR="00F21F62">
        <w:rPr>
          <w:rFonts w:cstheme="minorHAnsi"/>
          <w:sz w:val="24"/>
          <w:szCs w:val="24"/>
        </w:rPr>
        <w:t xml:space="preserve">not </w:t>
      </w:r>
      <w:r w:rsidRPr="00CD6659">
        <w:rPr>
          <w:rFonts w:cstheme="minorHAnsi"/>
          <w:sz w:val="24"/>
          <w:szCs w:val="24"/>
        </w:rPr>
        <w:t>being discussed within the academy, let alone analysed from an interdisciplinary perspective. There is an obvious need to understand the rights themselves</w:t>
      </w:r>
      <w:r w:rsidR="00B03F32">
        <w:rPr>
          <w:rFonts w:cstheme="minorHAnsi"/>
          <w:sz w:val="24"/>
          <w:szCs w:val="24"/>
        </w:rPr>
        <w:t xml:space="preserve"> </w:t>
      </w:r>
      <w:r w:rsidRPr="00CD6659">
        <w:rPr>
          <w:rFonts w:cstheme="minorHAnsi"/>
          <w:sz w:val="24"/>
          <w:szCs w:val="24"/>
        </w:rPr>
        <w:t xml:space="preserve">and the ideologies upon which they are </w:t>
      </w:r>
      <w:r w:rsidR="00B03F32">
        <w:rPr>
          <w:rFonts w:cstheme="minorHAnsi"/>
          <w:sz w:val="24"/>
          <w:szCs w:val="24"/>
        </w:rPr>
        <w:t>based</w:t>
      </w:r>
      <w:r w:rsidRPr="00CD6659">
        <w:rPr>
          <w:rFonts w:cstheme="minorHAnsi"/>
          <w:sz w:val="24"/>
          <w:szCs w:val="24"/>
        </w:rPr>
        <w:t xml:space="preserve">. </w:t>
      </w:r>
    </w:p>
    <w:p w:rsidR="007A1AD4" w:rsidRPr="00CD6659" w:rsidRDefault="007A1AD4">
      <w:pPr>
        <w:rPr>
          <w:sz w:val="24"/>
          <w:szCs w:val="24"/>
        </w:rPr>
      </w:pPr>
    </w:p>
    <w:p w:rsidR="00FE05CF" w:rsidRPr="00CD6659" w:rsidRDefault="00FE05CF" w:rsidP="00FE05CF">
      <w:pPr>
        <w:pStyle w:val="ListParagraph"/>
        <w:numPr>
          <w:ilvl w:val="0"/>
          <w:numId w:val="1"/>
        </w:numPr>
        <w:rPr>
          <w:b/>
          <w:sz w:val="24"/>
          <w:szCs w:val="24"/>
        </w:rPr>
      </w:pPr>
      <w:r w:rsidRPr="00CD6659">
        <w:rPr>
          <w:b/>
          <w:sz w:val="24"/>
          <w:szCs w:val="24"/>
        </w:rPr>
        <w:t>Hybridity</w:t>
      </w:r>
      <w:r w:rsidR="00F21F62">
        <w:rPr>
          <w:b/>
          <w:sz w:val="24"/>
          <w:szCs w:val="24"/>
        </w:rPr>
        <w:t>: A three-part framework</w:t>
      </w:r>
    </w:p>
    <w:p w:rsidR="00A35C6A" w:rsidRDefault="00B03F32" w:rsidP="005D4BCE">
      <w:pPr>
        <w:pStyle w:val="FootnoteText"/>
        <w:spacing w:line="240" w:lineRule="auto"/>
        <w:rPr>
          <w:rFonts w:asciiTheme="minorHAnsi" w:hAnsiTheme="minorHAnsi" w:cstheme="minorHAnsi"/>
          <w:sz w:val="24"/>
          <w:szCs w:val="24"/>
        </w:rPr>
      </w:pPr>
      <w:r w:rsidRPr="00A35C6A">
        <w:rPr>
          <w:rFonts w:asciiTheme="minorHAnsi" w:hAnsiTheme="minorHAnsi" w:cstheme="minorHAnsi"/>
          <w:sz w:val="24"/>
          <w:szCs w:val="24"/>
        </w:rPr>
        <w:t xml:space="preserve">Hybridity is relatively </w:t>
      </w:r>
      <w:r w:rsidR="009B4D71">
        <w:rPr>
          <w:rFonts w:asciiTheme="minorHAnsi" w:hAnsiTheme="minorHAnsi" w:cstheme="minorHAnsi"/>
          <w:sz w:val="24"/>
          <w:szCs w:val="24"/>
        </w:rPr>
        <w:t xml:space="preserve">underused with regard to </w:t>
      </w:r>
      <w:r w:rsidR="00A35C6A" w:rsidRPr="00A35C6A">
        <w:rPr>
          <w:rFonts w:asciiTheme="minorHAnsi" w:hAnsiTheme="minorHAnsi" w:cstheme="minorHAnsi"/>
          <w:sz w:val="24"/>
          <w:szCs w:val="24"/>
        </w:rPr>
        <w:t xml:space="preserve">events </w:t>
      </w:r>
      <w:r w:rsidR="009B4D71">
        <w:rPr>
          <w:rFonts w:asciiTheme="minorHAnsi" w:hAnsiTheme="minorHAnsi" w:cstheme="minorHAnsi"/>
          <w:sz w:val="24"/>
          <w:szCs w:val="24"/>
        </w:rPr>
        <w:t xml:space="preserve">occurring </w:t>
      </w:r>
      <w:r w:rsidR="00A35C6A" w:rsidRPr="00A35C6A">
        <w:rPr>
          <w:rFonts w:asciiTheme="minorHAnsi" w:hAnsiTheme="minorHAnsi" w:cstheme="minorHAnsi"/>
          <w:sz w:val="24"/>
          <w:szCs w:val="24"/>
        </w:rPr>
        <w:t>at the international level</w:t>
      </w:r>
      <w:r w:rsidRPr="00A35C6A">
        <w:rPr>
          <w:rFonts w:asciiTheme="minorHAnsi" w:hAnsiTheme="minorHAnsi" w:cstheme="minorHAnsi"/>
          <w:sz w:val="24"/>
          <w:szCs w:val="24"/>
        </w:rPr>
        <w:t>.</w:t>
      </w:r>
      <w:r w:rsidR="00A35C6A" w:rsidRPr="00A35C6A">
        <w:rPr>
          <w:rFonts w:asciiTheme="minorHAnsi" w:hAnsiTheme="minorHAnsi" w:cstheme="minorHAnsi"/>
          <w:sz w:val="24"/>
          <w:szCs w:val="24"/>
        </w:rPr>
        <w:t xml:space="preserve"> </w:t>
      </w:r>
      <w:r w:rsidR="009B4D71">
        <w:rPr>
          <w:rFonts w:asciiTheme="minorHAnsi" w:hAnsiTheme="minorHAnsi" w:cstheme="minorHAnsi"/>
          <w:sz w:val="24"/>
          <w:szCs w:val="24"/>
        </w:rPr>
        <w:t xml:space="preserve">The theory has been applied to </w:t>
      </w:r>
      <w:r w:rsidR="00A35C6A" w:rsidRPr="00A35C6A">
        <w:rPr>
          <w:rFonts w:asciiTheme="minorHAnsi" w:hAnsiTheme="minorHAnsi" w:cstheme="minorHAnsi"/>
          <w:sz w:val="24"/>
          <w:szCs w:val="24"/>
        </w:rPr>
        <w:t>peace-building,</w:t>
      </w:r>
      <w:r w:rsidR="00A35C6A" w:rsidRPr="00A35C6A">
        <w:rPr>
          <w:rStyle w:val="FootnoteReference"/>
          <w:rFonts w:asciiTheme="minorHAnsi" w:hAnsiTheme="minorHAnsi" w:cstheme="minorHAnsi"/>
          <w:sz w:val="24"/>
          <w:szCs w:val="24"/>
        </w:rPr>
        <w:footnoteReference w:id="17"/>
      </w:r>
      <w:r w:rsidR="00A35C6A" w:rsidRPr="00A35C6A">
        <w:rPr>
          <w:rFonts w:asciiTheme="minorHAnsi" w:hAnsiTheme="minorHAnsi" w:cstheme="minorHAnsi"/>
          <w:sz w:val="24"/>
          <w:szCs w:val="24"/>
        </w:rPr>
        <w:t xml:space="preserve"> interventions,</w:t>
      </w:r>
      <w:r w:rsidR="00A35C6A" w:rsidRPr="00A35C6A">
        <w:rPr>
          <w:rStyle w:val="FootnoteReference"/>
          <w:rFonts w:asciiTheme="minorHAnsi" w:hAnsiTheme="minorHAnsi" w:cstheme="minorHAnsi"/>
          <w:sz w:val="24"/>
          <w:szCs w:val="24"/>
        </w:rPr>
        <w:footnoteReference w:id="18"/>
      </w:r>
      <w:r w:rsidR="00A35C6A" w:rsidRPr="00A35C6A">
        <w:rPr>
          <w:rFonts w:asciiTheme="minorHAnsi" w:hAnsiTheme="minorHAnsi" w:cstheme="minorHAnsi"/>
          <w:sz w:val="24"/>
          <w:szCs w:val="24"/>
        </w:rPr>
        <w:t xml:space="preserve"> state-building,</w:t>
      </w:r>
      <w:r w:rsidR="00A35C6A" w:rsidRPr="00A35C6A">
        <w:rPr>
          <w:rStyle w:val="FootnoteReference"/>
          <w:rFonts w:asciiTheme="minorHAnsi" w:hAnsiTheme="minorHAnsi" w:cstheme="minorHAnsi"/>
          <w:sz w:val="24"/>
          <w:szCs w:val="24"/>
        </w:rPr>
        <w:footnoteReference w:id="19"/>
      </w:r>
      <w:r w:rsidR="00A35C6A" w:rsidRPr="00A35C6A">
        <w:rPr>
          <w:rFonts w:asciiTheme="minorHAnsi" w:hAnsiTheme="minorHAnsi" w:cstheme="minorHAnsi"/>
          <w:sz w:val="24"/>
          <w:szCs w:val="24"/>
        </w:rPr>
        <w:t xml:space="preserve"> an</w:t>
      </w:r>
      <w:r w:rsidR="009B4D71">
        <w:rPr>
          <w:rFonts w:asciiTheme="minorHAnsi" w:hAnsiTheme="minorHAnsi" w:cstheme="minorHAnsi"/>
          <w:sz w:val="24"/>
          <w:szCs w:val="24"/>
        </w:rPr>
        <w:t>d international criminal courts,</w:t>
      </w:r>
      <w:r w:rsidR="00A35C6A" w:rsidRPr="00A35C6A">
        <w:rPr>
          <w:rStyle w:val="FootnoteReference"/>
          <w:rFonts w:asciiTheme="minorHAnsi" w:hAnsiTheme="minorHAnsi" w:cstheme="minorHAnsi"/>
          <w:sz w:val="24"/>
          <w:szCs w:val="24"/>
        </w:rPr>
        <w:footnoteReference w:id="20"/>
      </w:r>
      <w:r w:rsidR="00A35C6A" w:rsidRPr="00A35C6A">
        <w:rPr>
          <w:rFonts w:asciiTheme="minorHAnsi" w:hAnsiTheme="minorHAnsi" w:cstheme="minorHAnsi"/>
          <w:sz w:val="24"/>
          <w:szCs w:val="24"/>
        </w:rPr>
        <w:t xml:space="preserve"> </w:t>
      </w:r>
      <w:r w:rsidR="00BD0B5A">
        <w:rPr>
          <w:rFonts w:asciiTheme="minorHAnsi" w:hAnsiTheme="minorHAnsi" w:cstheme="minorHAnsi"/>
          <w:sz w:val="24"/>
          <w:szCs w:val="24"/>
        </w:rPr>
        <w:t xml:space="preserve">all of which </w:t>
      </w:r>
      <w:r w:rsidR="00A35C6A" w:rsidRPr="00A35C6A">
        <w:rPr>
          <w:rFonts w:asciiTheme="minorHAnsi" w:hAnsiTheme="minorHAnsi" w:cstheme="minorHAnsi"/>
          <w:sz w:val="24"/>
          <w:szCs w:val="24"/>
        </w:rPr>
        <w:t>all case studies that demonstrate that nothing is purely local or purely international.</w:t>
      </w:r>
      <w:r w:rsidR="00A35C6A" w:rsidRPr="00A35C6A">
        <w:rPr>
          <w:rStyle w:val="FootnoteReference"/>
          <w:rFonts w:asciiTheme="minorHAnsi" w:hAnsiTheme="minorHAnsi" w:cstheme="minorHAnsi"/>
          <w:sz w:val="24"/>
          <w:szCs w:val="24"/>
        </w:rPr>
        <w:footnoteReference w:id="21"/>
      </w:r>
      <w:r w:rsidR="00A35C6A" w:rsidRPr="00A35C6A">
        <w:rPr>
          <w:rFonts w:asciiTheme="minorHAnsi" w:hAnsiTheme="minorHAnsi" w:cstheme="minorHAnsi"/>
          <w:sz w:val="24"/>
          <w:szCs w:val="24"/>
        </w:rPr>
        <w:t xml:space="preserve"> </w:t>
      </w:r>
      <w:r w:rsidR="009B4D71">
        <w:rPr>
          <w:rFonts w:asciiTheme="minorHAnsi" w:hAnsiTheme="minorHAnsi" w:cstheme="minorHAnsi"/>
          <w:sz w:val="24"/>
          <w:szCs w:val="24"/>
        </w:rPr>
        <w:t xml:space="preserve">Hybridity </w:t>
      </w:r>
      <w:r w:rsidR="00A35C6A" w:rsidRPr="00A35C6A">
        <w:rPr>
          <w:rFonts w:asciiTheme="minorHAnsi" w:hAnsiTheme="minorHAnsi" w:cstheme="minorHAnsi"/>
          <w:sz w:val="24"/>
          <w:szCs w:val="24"/>
        </w:rPr>
        <w:t xml:space="preserve">is raised within the context of specific circumstances, with </w:t>
      </w:r>
      <w:r w:rsidR="00A35C6A">
        <w:rPr>
          <w:rFonts w:asciiTheme="minorHAnsi" w:hAnsiTheme="minorHAnsi" w:cstheme="minorHAnsi"/>
          <w:sz w:val="24"/>
          <w:szCs w:val="24"/>
        </w:rPr>
        <w:t xml:space="preserve">scholars </w:t>
      </w:r>
      <w:r w:rsidR="00A35C6A" w:rsidRPr="00A35C6A">
        <w:rPr>
          <w:rFonts w:asciiTheme="minorHAnsi" w:hAnsiTheme="minorHAnsi" w:cstheme="minorHAnsi"/>
          <w:sz w:val="24"/>
          <w:szCs w:val="24"/>
        </w:rPr>
        <w:t xml:space="preserve">combining individual case studies to draw broader conclusions about how events </w:t>
      </w:r>
      <w:r w:rsidR="009B4D71">
        <w:rPr>
          <w:rFonts w:asciiTheme="minorHAnsi" w:hAnsiTheme="minorHAnsi" w:cstheme="minorHAnsi"/>
          <w:sz w:val="24"/>
          <w:szCs w:val="24"/>
        </w:rPr>
        <w:t xml:space="preserve">at </w:t>
      </w:r>
      <w:r w:rsidR="00A35C6A" w:rsidRPr="00A35C6A">
        <w:rPr>
          <w:rFonts w:asciiTheme="minorHAnsi" w:hAnsiTheme="minorHAnsi" w:cstheme="minorHAnsi"/>
          <w:sz w:val="24"/>
          <w:szCs w:val="24"/>
        </w:rPr>
        <w:t>the international</w:t>
      </w:r>
      <w:r w:rsidR="009B4D71">
        <w:rPr>
          <w:rFonts w:asciiTheme="minorHAnsi" w:hAnsiTheme="minorHAnsi" w:cstheme="minorHAnsi"/>
          <w:sz w:val="24"/>
          <w:szCs w:val="24"/>
        </w:rPr>
        <w:t xml:space="preserve"> level</w:t>
      </w:r>
      <w:r w:rsidR="00A35C6A" w:rsidRPr="00A35C6A">
        <w:rPr>
          <w:rFonts w:asciiTheme="minorHAnsi" w:hAnsiTheme="minorHAnsi" w:cstheme="minorHAnsi"/>
          <w:sz w:val="24"/>
          <w:szCs w:val="24"/>
        </w:rPr>
        <w:t xml:space="preserve">. </w:t>
      </w:r>
      <w:r>
        <w:rPr>
          <w:rFonts w:cstheme="minorHAnsi"/>
          <w:sz w:val="24"/>
          <w:szCs w:val="24"/>
        </w:rPr>
        <w:t xml:space="preserve">I have </w:t>
      </w:r>
      <w:r w:rsidR="00A35C6A">
        <w:rPr>
          <w:rFonts w:cstheme="minorHAnsi"/>
          <w:sz w:val="24"/>
          <w:szCs w:val="24"/>
        </w:rPr>
        <w:t>taken this further by developing</w:t>
      </w:r>
      <w:r>
        <w:rPr>
          <w:rFonts w:cstheme="minorHAnsi"/>
          <w:sz w:val="24"/>
          <w:szCs w:val="24"/>
        </w:rPr>
        <w:t xml:space="preserve"> </w:t>
      </w:r>
      <w:r w:rsidRPr="00CD6659">
        <w:rPr>
          <w:rFonts w:asciiTheme="minorHAnsi" w:hAnsiTheme="minorHAnsi" w:cstheme="minorHAnsi"/>
          <w:sz w:val="24"/>
          <w:szCs w:val="24"/>
        </w:rPr>
        <w:t xml:space="preserve">a framework </w:t>
      </w:r>
      <w:r>
        <w:rPr>
          <w:rFonts w:cstheme="minorHAnsi"/>
          <w:sz w:val="24"/>
          <w:szCs w:val="24"/>
        </w:rPr>
        <w:t xml:space="preserve">of three inter-connected elements </w:t>
      </w:r>
      <w:r w:rsidRPr="00CD6659">
        <w:rPr>
          <w:rFonts w:asciiTheme="minorHAnsi" w:hAnsiTheme="minorHAnsi" w:cstheme="minorHAnsi"/>
          <w:sz w:val="24"/>
          <w:szCs w:val="24"/>
        </w:rPr>
        <w:t>for understanding hybridity and its role and impact within the international arena.</w:t>
      </w:r>
      <w:r w:rsidR="00523CC8">
        <w:rPr>
          <w:rStyle w:val="FootnoteReference"/>
          <w:rFonts w:cstheme="minorHAnsi"/>
          <w:sz w:val="24"/>
          <w:szCs w:val="24"/>
        </w:rPr>
        <w:footnoteReference w:id="22"/>
      </w:r>
      <w:r w:rsidRPr="00CD6659">
        <w:rPr>
          <w:rFonts w:asciiTheme="minorHAnsi" w:hAnsiTheme="minorHAnsi" w:cstheme="minorHAnsi"/>
          <w:sz w:val="24"/>
          <w:szCs w:val="24"/>
        </w:rPr>
        <w:t xml:space="preserve"> </w:t>
      </w:r>
    </w:p>
    <w:p w:rsidR="00A35C6A" w:rsidRDefault="00A35C6A" w:rsidP="005D4BCE">
      <w:pPr>
        <w:pStyle w:val="FootnoteText"/>
        <w:spacing w:line="240" w:lineRule="auto"/>
        <w:rPr>
          <w:rFonts w:asciiTheme="minorHAnsi" w:hAnsiTheme="minorHAnsi" w:cstheme="minorHAnsi"/>
          <w:sz w:val="24"/>
          <w:szCs w:val="24"/>
        </w:rPr>
      </w:pPr>
    </w:p>
    <w:p w:rsidR="005D4BCE" w:rsidRDefault="00B03F32" w:rsidP="005D4BCE">
      <w:pPr>
        <w:pStyle w:val="FootnoteText"/>
        <w:spacing w:line="240" w:lineRule="auto"/>
        <w:rPr>
          <w:rFonts w:asciiTheme="minorHAnsi" w:hAnsiTheme="minorHAnsi" w:cstheme="minorHAnsi"/>
          <w:sz w:val="24"/>
          <w:szCs w:val="24"/>
        </w:rPr>
      </w:pPr>
      <w:r w:rsidRPr="00CD6659">
        <w:rPr>
          <w:rFonts w:asciiTheme="minorHAnsi" w:hAnsiTheme="minorHAnsi" w:cstheme="minorHAnsi"/>
          <w:sz w:val="24"/>
          <w:szCs w:val="24"/>
        </w:rPr>
        <w:t xml:space="preserve">Firstly, hybridity is a </w:t>
      </w:r>
      <w:r w:rsidRPr="00CD6659">
        <w:rPr>
          <w:rFonts w:asciiTheme="minorHAnsi" w:hAnsiTheme="minorHAnsi" w:cstheme="minorHAnsi"/>
          <w:i/>
          <w:sz w:val="24"/>
          <w:szCs w:val="24"/>
        </w:rPr>
        <w:t>theory</w:t>
      </w:r>
      <w:r w:rsidRPr="00CD6659">
        <w:rPr>
          <w:rFonts w:asciiTheme="minorHAnsi" w:hAnsiTheme="minorHAnsi" w:cstheme="minorHAnsi"/>
          <w:sz w:val="24"/>
          <w:szCs w:val="24"/>
        </w:rPr>
        <w:t xml:space="preserve"> that enables understanding of identities, providing a lens through which cultures may be viewed.</w:t>
      </w:r>
      <w:r w:rsidR="005D4BCE">
        <w:rPr>
          <w:rFonts w:cstheme="minorHAnsi"/>
          <w:sz w:val="24"/>
          <w:szCs w:val="24"/>
        </w:rPr>
        <w:t xml:space="preserve"> </w:t>
      </w:r>
      <w:r w:rsidR="005D4BCE" w:rsidRPr="00CD6659">
        <w:rPr>
          <w:rFonts w:asciiTheme="minorHAnsi" w:hAnsiTheme="minorHAnsi" w:cstheme="minorHAnsi"/>
          <w:sz w:val="24"/>
          <w:szCs w:val="24"/>
        </w:rPr>
        <w:t xml:space="preserve">Theories </w:t>
      </w:r>
      <w:r w:rsidR="005D4BCE">
        <w:rPr>
          <w:rFonts w:cstheme="minorHAnsi"/>
          <w:sz w:val="24"/>
          <w:szCs w:val="24"/>
        </w:rPr>
        <w:t xml:space="preserve">are one </w:t>
      </w:r>
      <w:r w:rsidR="005D4BCE" w:rsidRPr="00CD6659">
        <w:rPr>
          <w:rFonts w:asciiTheme="minorHAnsi" w:hAnsiTheme="minorHAnsi" w:cstheme="minorHAnsi"/>
          <w:sz w:val="24"/>
          <w:szCs w:val="24"/>
        </w:rPr>
        <w:t xml:space="preserve">input within the international arena, for example when they inform governments’ positions or statements. </w:t>
      </w:r>
      <w:r w:rsidRPr="00CD6659">
        <w:rPr>
          <w:rFonts w:asciiTheme="minorHAnsi" w:hAnsiTheme="minorHAnsi" w:cstheme="minorHAnsi"/>
          <w:sz w:val="24"/>
          <w:szCs w:val="24"/>
        </w:rPr>
        <w:t xml:space="preserve"> </w:t>
      </w:r>
      <w:r w:rsidR="005D4BCE" w:rsidRPr="00CD6659">
        <w:rPr>
          <w:rFonts w:asciiTheme="minorHAnsi" w:hAnsiTheme="minorHAnsi" w:cstheme="minorHAnsi"/>
          <w:sz w:val="24"/>
          <w:szCs w:val="24"/>
        </w:rPr>
        <w:t>That occurs within regional groups and political blocs, or within international institutions. Discourses based on hybridity theories are adopted within oral statements and reports at the UN Human Rights Council;</w:t>
      </w:r>
      <w:r w:rsidR="005D4BCE" w:rsidRPr="00CD6659">
        <w:rPr>
          <w:rStyle w:val="FootnoteReference"/>
          <w:rFonts w:asciiTheme="minorHAnsi" w:hAnsiTheme="minorHAnsi" w:cstheme="minorHAnsi"/>
          <w:sz w:val="24"/>
          <w:szCs w:val="24"/>
        </w:rPr>
        <w:footnoteReference w:id="23"/>
      </w:r>
      <w:r w:rsidR="005D4BCE" w:rsidRPr="00CD6659">
        <w:rPr>
          <w:rFonts w:asciiTheme="minorHAnsi" w:hAnsiTheme="minorHAnsi" w:cstheme="minorHAnsi"/>
          <w:sz w:val="24"/>
          <w:szCs w:val="24"/>
        </w:rPr>
        <w:t xml:space="preserve"> within the language of resolutions and decisions; as well as </w:t>
      </w:r>
      <w:r w:rsidR="005D4BCE" w:rsidRPr="00CD6659">
        <w:rPr>
          <w:rFonts w:asciiTheme="minorHAnsi" w:hAnsiTheme="minorHAnsi" w:cstheme="minorHAnsi"/>
          <w:sz w:val="24"/>
          <w:szCs w:val="24"/>
        </w:rPr>
        <w:lastRenderedPageBreak/>
        <w:t>discussions within UN bodies.</w:t>
      </w:r>
      <w:r w:rsidR="005D4BCE" w:rsidRPr="00CD6659">
        <w:rPr>
          <w:rStyle w:val="FootnoteReference"/>
          <w:rFonts w:asciiTheme="minorHAnsi" w:hAnsiTheme="minorHAnsi" w:cstheme="minorHAnsi"/>
          <w:sz w:val="24"/>
          <w:szCs w:val="24"/>
        </w:rPr>
        <w:footnoteReference w:id="24"/>
      </w:r>
    </w:p>
    <w:p w:rsidR="005D4BCE" w:rsidRDefault="005D4BCE" w:rsidP="005D4BCE">
      <w:pPr>
        <w:pStyle w:val="FootnoteText"/>
        <w:spacing w:line="240" w:lineRule="auto"/>
        <w:rPr>
          <w:rFonts w:asciiTheme="minorHAnsi" w:hAnsiTheme="minorHAnsi" w:cstheme="minorHAnsi"/>
          <w:sz w:val="24"/>
          <w:szCs w:val="24"/>
        </w:rPr>
      </w:pPr>
    </w:p>
    <w:p w:rsidR="005D4BCE" w:rsidRPr="00CD6659" w:rsidRDefault="00B03F32" w:rsidP="005D4BCE">
      <w:pPr>
        <w:pStyle w:val="FootnoteText"/>
        <w:spacing w:line="240" w:lineRule="auto"/>
        <w:rPr>
          <w:rFonts w:asciiTheme="minorHAnsi" w:hAnsiTheme="minorHAnsi" w:cstheme="minorHAnsi"/>
          <w:sz w:val="24"/>
          <w:szCs w:val="24"/>
        </w:rPr>
      </w:pPr>
      <w:r w:rsidRPr="00CD6659">
        <w:rPr>
          <w:rFonts w:asciiTheme="minorHAnsi" w:hAnsiTheme="minorHAnsi" w:cstheme="minorHAnsi"/>
          <w:sz w:val="24"/>
          <w:szCs w:val="24"/>
        </w:rPr>
        <w:t xml:space="preserve">Hybridity, or hybridisation, is also a </w:t>
      </w:r>
      <w:r w:rsidRPr="00CD6659">
        <w:rPr>
          <w:rFonts w:asciiTheme="minorHAnsi" w:hAnsiTheme="minorHAnsi" w:cstheme="minorHAnsi"/>
          <w:i/>
          <w:sz w:val="24"/>
          <w:szCs w:val="24"/>
        </w:rPr>
        <w:t>process</w:t>
      </w:r>
      <w:r w:rsidRPr="00CD6659">
        <w:rPr>
          <w:rFonts w:asciiTheme="minorHAnsi" w:hAnsiTheme="minorHAnsi" w:cstheme="minorHAnsi"/>
          <w:sz w:val="24"/>
          <w:szCs w:val="24"/>
        </w:rPr>
        <w:t xml:space="preserve"> through which identities and cultures are forged, with a ‘multiplicity of outcomes’ that depend on ‘complex and context-specific realities’.</w:t>
      </w:r>
      <w:r w:rsidRPr="00CD6659">
        <w:rPr>
          <w:rStyle w:val="FootnoteReference"/>
          <w:rFonts w:asciiTheme="minorHAnsi" w:hAnsiTheme="minorHAnsi" w:cstheme="minorHAnsi"/>
          <w:sz w:val="24"/>
          <w:szCs w:val="24"/>
        </w:rPr>
        <w:footnoteReference w:id="25"/>
      </w:r>
      <w:r w:rsidRPr="00CD6659">
        <w:rPr>
          <w:rFonts w:asciiTheme="minorHAnsi" w:hAnsiTheme="minorHAnsi" w:cstheme="minorHAnsi"/>
          <w:sz w:val="24"/>
          <w:szCs w:val="24"/>
        </w:rPr>
        <w:t xml:space="preserve"> Traditionally, that process is viewed as occurring within postcolonial, or other formerly dominated, societies. Yet, the process also takes place within the international arena. </w:t>
      </w:r>
      <w:r w:rsidR="005D4BCE" w:rsidRPr="00CD6659">
        <w:rPr>
          <w:rFonts w:asciiTheme="minorHAnsi" w:hAnsiTheme="minorHAnsi" w:cstheme="minorHAnsi"/>
          <w:sz w:val="24"/>
          <w:szCs w:val="24"/>
        </w:rPr>
        <w:t>International institutions, in terms of formal bodies and the place that they provide for like-minded states to meet within regional groups and political blocs, provide a physical Third Space for the construction of hybrid norms.</w:t>
      </w:r>
      <w:r w:rsidR="005D4BCE">
        <w:rPr>
          <w:rFonts w:asciiTheme="minorHAnsi" w:hAnsiTheme="minorHAnsi" w:cstheme="minorHAnsi"/>
          <w:sz w:val="24"/>
          <w:szCs w:val="24"/>
        </w:rPr>
        <w:t xml:space="preserve"> </w:t>
      </w:r>
      <w:r w:rsidR="007321AC">
        <w:rPr>
          <w:rFonts w:asciiTheme="minorHAnsi" w:hAnsiTheme="minorHAnsi" w:cstheme="minorHAnsi"/>
          <w:sz w:val="24"/>
          <w:szCs w:val="24"/>
        </w:rPr>
        <w:t xml:space="preserve">The </w:t>
      </w:r>
      <w:r w:rsidR="005D4BCE" w:rsidRPr="00CD6659">
        <w:rPr>
          <w:rFonts w:asciiTheme="minorHAnsi" w:hAnsiTheme="minorHAnsi" w:cstheme="minorHAnsi"/>
          <w:sz w:val="24"/>
          <w:szCs w:val="24"/>
        </w:rPr>
        <w:t>process may also be viewed as the way inputs are converted into outputs. Within the international human rights system, conversion takes place through intergovernmental negotiations and coalition-building to form a majority for voting purposes.</w:t>
      </w:r>
      <w:bookmarkStart w:id="14" w:name="_Ref354515392"/>
      <w:r w:rsidR="005D4BCE" w:rsidRPr="00CD6659">
        <w:rPr>
          <w:rStyle w:val="FootnoteReference"/>
          <w:rFonts w:asciiTheme="minorHAnsi" w:hAnsiTheme="minorHAnsi" w:cstheme="minorHAnsi"/>
          <w:sz w:val="24"/>
          <w:szCs w:val="24"/>
        </w:rPr>
        <w:footnoteReference w:id="26"/>
      </w:r>
      <w:bookmarkEnd w:id="14"/>
      <w:r w:rsidR="005D4BCE" w:rsidRPr="00CD6659">
        <w:rPr>
          <w:rFonts w:asciiTheme="minorHAnsi" w:hAnsiTheme="minorHAnsi" w:cstheme="minorHAnsi"/>
          <w:sz w:val="24"/>
          <w:szCs w:val="24"/>
        </w:rPr>
        <w:t xml:space="preserve"> Countries, groups and blocs use the framework of international institutions to convert their norms, which resist dominant or traditional positions, into hybrid outputs. </w:t>
      </w:r>
    </w:p>
    <w:p w:rsidR="005D4BCE" w:rsidRDefault="005D4BCE" w:rsidP="005D4BCE">
      <w:pPr>
        <w:pStyle w:val="FootnoteText"/>
        <w:spacing w:line="240" w:lineRule="auto"/>
        <w:rPr>
          <w:rFonts w:asciiTheme="minorHAnsi" w:hAnsiTheme="minorHAnsi" w:cstheme="minorHAnsi"/>
          <w:sz w:val="24"/>
          <w:szCs w:val="24"/>
        </w:rPr>
      </w:pPr>
    </w:p>
    <w:p w:rsidR="007321AC" w:rsidRPr="00CD6659" w:rsidRDefault="00B03F32" w:rsidP="007321AC">
      <w:pPr>
        <w:pStyle w:val="FootnoteText"/>
        <w:spacing w:line="240" w:lineRule="auto"/>
        <w:rPr>
          <w:rFonts w:asciiTheme="minorHAnsi" w:hAnsiTheme="minorHAnsi" w:cstheme="minorHAnsi"/>
          <w:sz w:val="24"/>
          <w:szCs w:val="24"/>
        </w:rPr>
      </w:pPr>
      <w:r w:rsidRPr="00CD6659">
        <w:rPr>
          <w:rFonts w:asciiTheme="minorHAnsi" w:hAnsiTheme="minorHAnsi" w:cstheme="minorHAnsi"/>
          <w:sz w:val="24"/>
          <w:szCs w:val="24"/>
        </w:rPr>
        <w:t xml:space="preserve">Lastly, hybridity is an </w:t>
      </w:r>
      <w:r w:rsidRPr="00CD6659">
        <w:rPr>
          <w:rFonts w:asciiTheme="minorHAnsi" w:hAnsiTheme="minorHAnsi" w:cstheme="minorHAnsi"/>
          <w:i/>
          <w:sz w:val="24"/>
          <w:szCs w:val="24"/>
        </w:rPr>
        <w:t xml:space="preserve">entity </w:t>
      </w:r>
      <w:r w:rsidRPr="00CD6659">
        <w:rPr>
          <w:rFonts w:asciiTheme="minorHAnsi" w:hAnsiTheme="minorHAnsi" w:cstheme="minorHAnsi"/>
          <w:sz w:val="24"/>
          <w:szCs w:val="24"/>
        </w:rPr>
        <w:t>in terms of the constructs that emerge based on the theory and resulting from the process.</w:t>
      </w:r>
      <w:r w:rsidR="007321AC">
        <w:rPr>
          <w:rFonts w:asciiTheme="minorHAnsi" w:hAnsiTheme="minorHAnsi" w:cstheme="minorHAnsi"/>
          <w:sz w:val="24"/>
          <w:szCs w:val="24"/>
        </w:rPr>
        <w:t xml:space="preserve"> </w:t>
      </w:r>
      <w:r w:rsidR="007321AC" w:rsidRPr="00CD6659">
        <w:rPr>
          <w:rFonts w:asciiTheme="minorHAnsi" w:hAnsiTheme="minorHAnsi" w:cstheme="minorHAnsi"/>
          <w:sz w:val="24"/>
          <w:szCs w:val="24"/>
        </w:rPr>
        <w:t xml:space="preserve">As an </w:t>
      </w:r>
      <w:r w:rsidR="007321AC" w:rsidRPr="007321AC">
        <w:rPr>
          <w:rFonts w:asciiTheme="minorHAnsi" w:hAnsiTheme="minorHAnsi" w:cstheme="minorHAnsi"/>
          <w:sz w:val="24"/>
          <w:szCs w:val="24"/>
        </w:rPr>
        <w:t>entity</w:t>
      </w:r>
      <w:r w:rsidR="007321AC" w:rsidRPr="00CD6659">
        <w:rPr>
          <w:rFonts w:asciiTheme="minorHAnsi" w:hAnsiTheme="minorHAnsi" w:cstheme="minorHAnsi"/>
          <w:sz w:val="24"/>
          <w:szCs w:val="24"/>
        </w:rPr>
        <w:t>, hybridity may exist within tangible matters including art, literature, language and, indeed, law. At the international level, hybrid entities based on theories and processes include: certain international criminal courts and tribunals;</w:t>
      </w:r>
      <w:r w:rsidR="007321AC" w:rsidRPr="00CD6659">
        <w:rPr>
          <w:rStyle w:val="FootnoteReference"/>
          <w:rFonts w:asciiTheme="minorHAnsi" w:hAnsiTheme="minorHAnsi" w:cstheme="minorHAnsi"/>
          <w:sz w:val="24"/>
          <w:szCs w:val="24"/>
        </w:rPr>
        <w:footnoteReference w:id="27"/>
      </w:r>
      <w:r w:rsidR="007321AC" w:rsidRPr="00CD6659">
        <w:rPr>
          <w:rFonts w:asciiTheme="minorHAnsi" w:hAnsiTheme="minorHAnsi" w:cstheme="minorHAnsi"/>
          <w:sz w:val="24"/>
          <w:szCs w:val="24"/>
        </w:rPr>
        <w:t xml:space="preserve"> aspects of some international instruments; and Third Generation Rights.</w:t>
      </w:r>
      <w:r w:rsidR="007321AC" w:rsidRPr="00CD6659">
        <w:rPr>
          <w:rStyle w:val="FootnoteReference"/>
          <w:rFonts w:asciiTheme="minorHAnsi" w:hAnsiTheme="minorHAnsi" w:cstheme="minorHAnsi"/>
          <w:sz w:val="24"/>
          <w:szCs w:val="24"/>
        </w:rPr>
        <w:footnoteReference w:id="28"/>
      </w:r>
      <w:r w:rsidR="007321AC" w:rsidRPr="00CD6659">
        <w:rPr>
          <w:rFonts w:asciiTheme="minorHAnsi" w:hAnsiTheme="minorHAnsi" w:cstheme="minorHAnsi"/>
          <w:sz w:val="24"/>
          <w:szCs w:val="24"/>
        </w:rPr>
        <w:t xml:space="preserve"> In many respects, it is easier to demonstrate hybridity as an entity owing to its tangible nature, although this third element is not of any greater or lesser importance than hybridity as a theory or as a process. </w:t>
      </w:r>
    </w:p>
    <w:p w:rsidR="007321AC" w:rsidRDefault="007321AC" w:rsidP="005D4BCE">
      <w:pPr>
        <w:pStyle w:val="FootnoteText"/>
        <w:spacing w:line="240" w:lineRule="auto"/>
        <w:rPr>
          <w:rFonts w:asciiTheme="minorHAnsi" w:hAnsiTheme="minorHAnsi" w:cstheme="minorHAnsi"/>
          <w:sz w:val="24"/>
          <w:szCs w:val="24"/>
        </w:rPr>
      </w:pPr>
    </w:p>
    <w:p w:rsidR="00FE05CF" w:rsidRDefault="00FE05CF" w:rsidP="00B57C8A">
      <w:pPr>
        <w:pStyle w:val="FootnoteText"/>
        <w:spacing w:line="240" w:lineRule="auto"/>
        <w:rPr>
          <w:rFonts w:asciiTheme="minorHAnsi" w:hAnsiTheme="minorHAnsi" w:cstheme="minorHAnsi"/>
          <w:sz w:val="24"/>
          <w:szCs w:val="24"/>
        </w:rPr>
      </w:pPr>
      <w:r w:rsidRPr="00CD6659">
        <w:rPr>
          <w:rFonts w:asciiTheme="minorHAnsi" w:hAnsiTheme="minorHAnsi" w:cstheme="minorHAnsi"/>
          <w:sz w:val="24"/>
          <w:szCs w:val="24"/>
        </w:rPr>
        <w:t xml:space="preserve">All three elements – theory, process and entity – are necessary for understanding how hybridity operates at the international level. The elements interconnect and interact with one another, demonstrating that hybridity cannot solely be used as a lens through which matters are viewed or as an abstract concept.  Applying </w:t>
      </w:r>
      <w:r w:rsidR="00C903AD">
        <w:rPr>
          <w:rFonts w:asciiTheme="minorHAnsi" w:hAnsiTheme="minorHAnsi" w:cstheme="minorHAnsi"/>
          <w:sz w:val="24"/>
          <w:szCs w:val="24"/>
        </w:rPr>
        <w:t xml:space="preserve">this </w:t>
      </w:r>
      <w:r w:rsidRPr="00CD6659">
        <w:rPr>
          <w:rFonts w:asciiTheme="minorHAnsi" w:hAnsiTheme="minorHAnsi" w:cstheme="minorHAnsi"/>
          <w:sz w:val="24"/>
          <w:szCs w:val="24"/>
        </w:rPr>
        <w:t xml:space="preserve">framework to </w:t>
      </w:r>
      <w:r w:rsidR="00C903AD">
        <w:rPr>
          <w:rFonts w:asciiTheme="minorHAnsi" w:hAnsiTheme="minorHAnsi" w:cstheme="minorHAnsi"/>
          <w:sz w:val="24"/>
          <w:szCs w:val="24"/>
        </w:rPr>
        <w:t>the development of international human rights law</w:t>
      </w:r>
      <w:r w:rsidRPr="00CD6659">
        <w:rPr>
          <w:rFonts w:asciiTheme="minorHAnsi" w:hAnsiTheme="minorHAnsi" w:cstheme="minorHAnsi"/>
          <w:sz w:val="24"/>
          <w:szCs w:val="24"/>
        </w:rPr>
        <w:t xml:space="preserve">, I shall </w:t>
      </w:r>
      <w:r w:rsidR="00C903AD">
        <w:rPr>
          <w:rFonts w:asciiTheme="minorHAnsi" w:hAnsiTheme="minorHAnsi" w:cstheme="minorHAnsi"/>
          <w:sz w:val="24"/>
          <w:szCs w:val="24"/>
        </w:rPr>
        <w:t>explore how hybridity operates within</w:t>
      </w:r>
      <w:r w:rsidRPr="00CD6659">
        <w:rPr>
          <w:rFonts w:asciiTheme="minorHAnsi" w:hAnsiTheme="minorHAnsi" w:cstheme="minorHAnsi"/>
          <w:sz w:val="24"/>
          <w:szCs w:val="24"/>
        </w:rPr>
        <w:t xml:space="preserve"> and imp</w:t>
      </w:r>
      <w:r w:rsidR="00C903AD">
        <w:rPr>
          <w:rFonts w:asciiTheme="minorHAnsi" w:hAnsiTheme="minorHAnsi" w:cstheme="minorHAnsi"/>
          <w:sz w:val="24"/>
          <w:szCs w:val="24"/>
        </w:rPr>
        <w:t>acts upon</w:t>
      </w:r>
      <w:r w:rsidRPr="00CD6659">
        <w:rPr>
          <w:rFonts w:asciiTheme="minorHAnsi" w:hAnsiTheme="minorHAnsi" w:cstheme="minorHAnsi"/>
          <w:sz w:val="24"/>
          <w:szCs w:val="24"/>
        </w:rPr>
        <w:t xml:space="preserve"> the international arena. </w:t>
      </w:r>
    </w:p>
    <w:p w:rsidR="000679B8" w:rsidRPr="00C903AD" w:rsidRDefault="000679B8" w:rsidP="00B57C8A">
      <w:pPr>
        <w:pStyle w:val="FootnoteText"/>
        <w:spacing w:line="240" w:lineRule="auto"/>
        <w:rPr>
          <w:rFonts w:asciiTheme="minorHAnsi" w:hAnsiTheme="minorHAnsi" w:cstheme="minorHAnsi"/>
          <w:sz w:val="24"/>
          <w:szCs w:val="24"/>
        </w:rPr>
      </w:pPr>
    </w:p>
    <w:p w:rsidR="00FE05CF" w:rsidRPr="00CD6659" w:rsidRDefault="00FE05CF" w:rsidP="00FE05CF">
      <w:pPr>
        <w:rPr>
          <w:rFonts w:cstheme="minorHAnsi"/>
          <w:sz w:val="24"/>
          <w:szCs w:val="24"/>
        </w:rPr>
      </w:pPr>
    </w:p>
    <w:p w:rsidR="00FE05CF" w:rsidRPr="00CD6659" w:rsidRDefault="00FE05CF" w:rsidP="00FE05CF">
      <w:pPr>
        <w:pStyle w:val="ListParagraph"/>
        <w:numPr>
          <w:ilvl w:val="0"/>
          <w:numId w:val="1"/>
        </w:numPr>
        <w:rPr>
          <w:rFonts w:cstheme="minorHAnsi"/>
          <w:b/>
          <w:sz w:val="24"/>
          <w:szCs w:val="24"/>
        </w:rPr>
      </w:pPr>
      <w:r w:rsidRPr="00CD6659">
        <w:rPr>
          <w:rFonts w:cstheme="minorHAnsi"/>
          <w:b/>
          <w:sz w:val="24"/>
          <w:szCs w:val="24"/>
        </w:rPr>
        <w:t>Hybridity and International Human Rights Law</w:t>
      </w:r>
    </w:p>
    <w:p w:rsidR="002D1ED2" w:rsidRDefault="002D1ED2" w:rsidP="002D1ED2">
      <w:pPr>
        <w:pStyle w:val="FootnoteText"/>
        <w:spacing w:line="240" w:lineRule="auto"/>
        <w:rPr>
          <w:rFonts w:asciiTheme="minorHAnsi" w:hAnsiTheme="minorHAnsi" w:cstheme="minorHAnsi"/>
          <w:sz w:val="24"/>
          <w:szCs w:val="24"/>
        </w:rPr>
      </w:pPr>
      <w:r w:rsidRPr="00CD6659">
        <w:rPr>
          <w:rFonts w:asciiTheme="minorHAnsi" w:hAnsiTheme="minorHAnsi" w:cstheme="minorHAnsi"/>
          <w:sz w:val="24"/>
          <w:szCs w:val="24"/>
        </w:rPr>
        <w:t>Said insists that hybridity is ‘the essential idea for the revolutionary realities today’.</w:t>
      </w:r>
      <w:r w:rsidRPr="00CD6659">
        <w:rPr>
          <w:rStyle w:val="FootnoteReference"/>
          <w:rFonts w:asciiTheme="minorHAnsi" w:hAnsiTheme="minorHAnsi" w:cstheme="minorHAnsi"/>
          <w:sz w:val="24"/>
          <w:szCs w:val="24"/>
        </w:rPr>
        <w:footnoteReference w:id="29"/>
      </w:r>
      <w:r w:rsidRPr="00CD6659">
        <w:rPr>
          <w:rFonts w:asciiTheme="minorHAnsi" w:hAnsiTheme="minorHAnsi" w:cstheme="minorHAnsi"/>
          <w:sz w:val="24"/>
          <w:szCs w:val="24"/>
        </w:rPr>
        <w:t xml:space="preserve"> Revolutions occur throughout the world, at the local, national, regional and international levels. Throughout modern international law, many states were unable to present their norms and ideologies within international institutions.</w:t>
      </w:r>
      <w:bookmarkStart w:id="15" w:name="_Ref354514689"/>
      <w:r w:rsidRPr="00CD6659">
        <w:rPr>
          <w:rStyle w:val="FootnoteReference"/>
          <w:rFonts w:asciiTheme="minorHAnsi" w:hAnsiTheme="minorHAnsi" w:cstheme="minorHAnsi"/>
          <w:sz w:val="24"/>
          <w:szCs w:val="24"/>
        </w:rPr>
        <w:footnoteReference w:id="30"/>
      </w:r>
      <w:bookmarkEnd w:id="15"/>
      <w:r w:rsidRPr="00CD6659">
        <w:rPr>
          <w:rFonts w:asciiTheme="minorHAnsi" w:hAnsiTheme="minorHAnsi" w:cstheme="minorHAnsi"/>
          <w:sz w:val="24"/>
          <w:szCs w:val="24"/>
        </w:rPr>
        <w:t xml:space="preserve"> Since the end of the Cold War, and </w:t>
      </w:r>
      <w:r w:rsidRPr="00CD6659">
        <w:rPr>
          <w:rFonts w:asciiTheme="minorHAnsi" w:hAnsiTheme="minorHAnsi" w:cstheme="minorHAnsi"/>
          <w:sz w:val="24"/>
          <w:szCs w:val="24"/>
        </w:rPr>
        <w:lastRenderedPageBreak/>
        <w:t>increasingly since the turn of the Millennium, states from the Non-Aligned Movement (NAM) and the Organisation of Islamic Cooperation (OIC), alongside regional allies from Africa, Asia and Latin America, have sought greater representation of their cultures.</w:t>
      </w:r>
      <w:r w:rsidRPr="00CD6659">
        <w:rPr>
          <w:rStyle w:val="FootnoteReference"/>
          <w:rFonts w:asciiTheme="minorHAnsi" w:hAnsiTheme="minorHAnsi" w:cstheme="minorHAnsi"/>
          <w:sz w:val="24"/>
          <w:szCs w:val="24"/>
        </w:rPr>
        <w:footnoteReference w:id="31"/>
      </w:r>
      <w:r w:rsidRPr="00CD6659">
        <w:rPr>
          <w:rFonts w:asciiTheme="minorHAnsi" w:hAnsiTheme="minorHAnsi" w:cstheme="minorHAnsi"/>
          <w:sz w:val="24"/>
          <w:szCs w:val="24"/>
        </w:rPr>
        <w:t xml:space="preserve"> </w:t>
      </w:r>
    </w:p>
    <w:p w:rsidR="002D1ED2" w:rsidRDefault="002D1ED2" w:rsidP="002D1ED2">
      <w:pPr>
        <w:pStyle w:val="FootnoteText"/>
        <w:spacing w:line="240" w:lineRule="auto"/>
        <w:rPr>
          <w:rFonts w:asciiTheme="minorHAnsi" w:hAnsiTheme="minorHAnsi" w:cstheme="minorHAnsi"/>
          <w:sz w:val="24"/>
          <w:szCs w:val="24"/>
        </w:rPr>
      </w:pPr>
    </w:p>
    <w:p w:rsidR="002D1ED2" w:rsidRDefault="002D1ED2" w:rsidP="002D1ED2">
      <w:pPr>
        <w:pStyle w:val="FootnoteText"/>
        <w:spacing w:line="240" w:lineRule="auto"/>
        <w:rPr>
          <w:rFonts w:asciiTheme="minorHAnsi" w:hAnsiTheme="minorHAnsi" w:cstheme="minorHAnsi"/>
          <w:sz w:val="24"/>
          <w:szCs w:val="24"/>
        </w:rPr>
      </w:pPr>
      <w:r w:rsidRPr="00CD6659">
        <w:rPr>
          <w:rFonts w:asciiTheme="minorHAnsi" w:hAnsiTheme="minorHAnsi" w:cstheme="minorHAnsi"/>
          <w:sz w:val="24"/>
          <w:szCs w:val="24"/>
        </w:rPr>
        <w:t>In terms of the substance of human rights, dominant ideologies stemmed initially from the W</w:t>
      </w:r>
      <w:r>
        <w:rPr>
          <w:rFonts w:asciiTheme="minorHAnsi" w:hAnsiTheme="minorHAnsi" w:cstheme="minorHAnsi"/>
          <w:sz w:val="24"/>
          <w:szCs w:val="24"/>
        </w:rPr>
        <w:t>est (Civil and Political Rights)</w:t>
      </w:r>
      <w:r w:rsidRPr="00CD6659">
        <w:rPr>
          <w:rFonts w:asciiTheme="minorHAnsi" w:hAnsiTheme="minorHAnsi" w:cstheme="minorHAnsi"/>
          <w:sz w:val="24"/>
          <w:szCs w:val="24"/>
        </w:rPr>
        <w:t>, quickly followed by Soviet notions of rights (Economic, Social and Cultural Rights). From the Universal Declarat</w:t>
      </w:r>
      <w:r w:rsidR="00BD0B5A">
        <w:rPr>
          <w:rFonts w:asciiTheme="minorHAnsi" w:hAnsiTheme="minorHAnsi" w:cstheme="minorHAnsi"/>
          <w:sz w:val="24"/>
          <w:szCs w:val="24"/>
        </w:rPr>
        <w:t>ion of Human Rights</w:t>
      </w:r>
      <w:r w:rsidRPr="00CD6659">
        <w:rPr>
          <w:rFonts w:asciiTheme="minorHAnsi" w:hAnsiTheme="minorHAnsi" w:cstheme="minorHAnsi"/>
          <w:sz w:val="24"/>
          <w:szCs w:val="24"/>
        </w:rPr>
        <w:t xml:space="preserve"> in 1948,</w:t>
      </w:r>
      <w:r w:rsidRPr="00CD6659">
        <w:rPr>
          <w:rStyle w:val="FootnoteReference"/>
          <w:rFonts w:asciiTheme="minorHAnsi" w:hAnsiTheme="minorHAnsi" w:cstheme="minorHAnsi"/>
          <w:sz w:val="24"/>
          <w:szCs w:val="24"/>
        </w:rPr>
        <w:footnoteReference w:id="32"/>
      </w:r>
      <w:r w:rsidRPr="00CD6659">
        <w:rPr>
          <w:rFonts w:asciiTheme="minorHAnsi" w:hAnsiTheme="minorHAnsi" w:cstheme="minorHAnsi"/>
          <w:sz w:val="24"/>
          <w:szCs w:val="24"/>
        </w:rPr>
        <w:t xml:space="preserve"> dominant ideologies have been at the fore in international human rights law’s development. Until recently, decolonised and developing states, alongside allies from the Non-Aligned Movement,</w:t>
      </w:r>
      <w:r w:rsidRPr="00CD6659">
        <w:rPr>
          <w:rStyle w:val="FootnoteReference"/>
          <w:rFonts w:asciiTheme="minorHAnsi" w:hAnsiTheme="minorHAnsi" w:cstheme="minorHAnsi"/>
          <w:sz w:val="24"/>
          <w:szCs w:val="24"/>
        </w:rPr>
        <w:footnoteReference w:id="33"/>
      </w:r>
      <w:r w:rsidRPr="00CD6659">
        <w:rPr>
          <w:rFonts w:asciiTheme="minorHAnsi" w:hAnsiTheme="minorHAnsi" w:cstheme="minorHAnsi"/>
          <w:sz w:val="24"/>
          <w:szCs w:val="24"/>
        </w:rPr>
        <w:t xml:space="preserve"> have promoted a ‘Third Generation’ of rights</w:t>
      </w:r>
      <w:r w:rsidRPr="00CD6659">
        <w:rPr>
          <w:rStyle w:val="FootnoteReference"/>
          <w:rFonts w:asciiTheme="minorHAnsi" w:hAnsiTheme="minorHAnsi" w:cstheme="minorHAnsi"/>
          <w:sz w:val="24"/>
          <w:szCs w:val="24"/>
        </w:rPr>
        <w:footnoteReference w:id="34"/>
      </w:r>
      <w:r w:rsidRPr="00CD6659">
        <w:rPr>
          <w:rFonts w:asciiTheme="minorHAnsi" w:hAnsiTheme="minorHAnsi" w:cstheme="minorHAnsi"/>
          <w:sz w:val="24"/>
          <w:szCs w:val="24"/>
        </w:rPr>
        <w:t xml:space="preserve"> - terminology first articulated by </w:t>
      </w:r>
      <w:proofErr w:type="spellStart"/>
      <w:r w:rsidRPr="00CD6659">
        <w:rPr>
          <w:rFonts w:asciiTheme="minorHAnsi" w:hAnsiTheme="minorHAnsi" w:cstheme="minorHAnsi"/>
          <w:sz w:val="24"/>
          <w:szCs w:val="24"/>
        </w:rPr>
        <w:t>Vasak</w:t>
      </w:r>
      <w:proofErr w:type="spellEnd"/>
      <w:r w:rsidRPr="00CD6659">
        <w:rPr>
          <w:rFonts w:asciiTheme="minorHAnsi" w:hAnsiTheme="minorHAnsi" w:cstheme="minorHAnsi"/>
          <w:sz w:val="24"/>
          <w:szCs w:val="24"/>
        </w:rPr>
        <w:t xml:space="preserve"> in relation to collective rights, or those rights which could only be realised ‘by the combined efforts of individuals, states, public and private associations, and the international community.’</w:t>
      </w:r>
      <w:r w:rsidRPr="00CD6659">
        <w:rPr>
          <w:rStyle w:val="FootnoteReference"/>
          <w:rFonts w:asciiTheme="minorHAnsi" w:hAnsiTheme="minorHAnsi" w:cstheme="minorHAnsi"/>
          <w:sz w:val="24"/>
          <w:szCs w:val="24"/>
        </w:rPr>
        <w:footnoteReference w:id="35"/>
      </w:r>
      <w:r w:rsidRPr="00CD6659">
        <w:rPr>
          <w:rFonts w:asciiTheme="minorHAnsi" w:hAnsiTheme="minorHAnsi" w:cstheme="minorHAnsi"/>
          <w:sz w:val="24"/>
          <w:szCs w:val="24"/>
        </w:rPr>
        <w:t xml:space="preserve"> Initial efforts focused on ensuring rights directly stemming from colonial experiences</w:t>
      </w:r>
      <w:r w:rsidRPr="00CD6659">
        <w:rPr>
          <w:rStyle w:val="FootnoteReference"/>
          <w:rFonts w:asciiTheme="minorHAnsi" w:hAnsiTheme="minorHAnsi" w:cstheme="minorHAnsi"/>
          <w:sz w:val="24"/>
          <w:szCs w:val="24"/>
        </w:rPr>
        <w:t xml:space="preserve"> </w:t>
      </w:r>
      <w:r w:rsidRPr="00CD6659">
        <w:rPr>
          <w:rStyle w:val="FootnoteReference"/>
          <w:rFonts w:asciiTheme="minorHAnsi" w:hAnsiTheme="minorHAnsi" w:cstheme="minorHAnsi"/>
          <w:sz w:val="24"/>
          <w:szCs w:val="24"/>
        </w:rPr>
        <w:footnoteReference w:id="36"/>
      </w:r>
      <w:r w:rsidRPr="00CD6659">
        <w:rPr>
          <w:rStyle w:val="FootnoteReference"/>
          <w:rFonts w:asciiTheme="minorHAnsi" w:hAnsiTheme="minorHAnsi" w:cstheme="minorHAnsi"/>
          <w:sz w:val="24"/>
          <w:szCs w:val="24"/>
        </w:rPr>
        <w:t xml:space="preserve"> </w:t>
      </w:r>
      <w:r w:rsidRPr="00CD6659">
        <w:rPr>
          <w:rFonts w:asciiTheme="minorHAnsi" w:hAnsiTheme="minorHAnsi" w:cstheme="minorHAnsi"/>
          <w:sz w:val="24"/>
          <w:szCs w:val="24"/>
        </w:rPr>
        <w:t>- most notably rights to self-determination, development and permanent sovereignty over resources. Those rights stemmed from the process of decolonisation</w:t>
      </w:r>
      <w:r w:rsidRPr="00CD6659">
        <w:rPr>
          <w:rStyle w:val="FootnoteReference"/>
          <w:rFonts w:asciiTheme="minorHAnsi" w:hAnsiTheme="minorHAnsi" w:cstheme="minorHAnsi"/>
          <w:sz w:val="24"/>
          <w:szCs w:val="24"/>
        </w:rPr>
        <w:footnoteReference w:id="37"/>
      </w:r>
      <w:r w:rsidRPr="00CD6659">
        <w:rPr>
          <w:rFonts w:asciiTheme="minorHAnsi" w:hAnsiTheme="minorHAnsi" w:cstheme="minorHAnsi"/>
          <w:sz w:val="24"/>
          <w:szCs w:val="24"/>
        </w:rPr>
        <w:t xml:space="preserve"> and are rooted in traditional postcolonial discourses that oppose imperialism and further an ‘anticolonial nationalism’.</w:t>
      </w:r>
      <w:r w:rsidRPr="00CD6659">
        <w:rPr>
          <w:rStyle w:val="FootnoteReference"/>
          <w:rFonts w:asciiTheme="minorHAnsi" w:hAnsiTheme="minorHAnsi" w:cstheme="minorHAnsi"/>
          <w:sz w:val="24"/>
          <w:szCs w:val="24"/>
        </w:rPr>
        <w:footnoteReference w:id="38"/>
      </w:r>
      <w:r w:rsidRPr="00CD6659">
        <w:rPr>
          <w:rFonts w:asciiTheme="minorHAnsi" w:hAnsiTheme="minorHAnsi" w:cstheme="minorHAnsi"/>
          <w:sz w:val="24"/>
          <w:szCs w:val="24"/>
        </w:rPr>
        <w:t xml:space="preserve"> The </w:t>
      </w:r>
      <w:proofErr w:type="spellStart"/>
      <w:r w:rsidRPr="00CD6659">
        <w:rPr>
          <w:rFonts w:asciiTheme="minorHAnsi" w:hAnsiTheme="minorHAnsi" w:cstheme="minorHAnsi"/>
          <w:sz w:val="24"/>
          <w:szCs w:val="24"/>
        </w:rPr>
        <w:t>Fanonian</w:t>
      </w:r>
      <w:proofErr w:type="spellEnd"/>
      <w:r w:rsidRPr="00CD6659">
        <w:rPr>
          <w:rFonts w:asciiTheme="minorHAnsi" w:hAnsiTheme="minorHAnsi" w:cstheme="minorHAnsi"/>
          <w:sz w:val="24"/>
          <w:szCs w:val="24"/>
        </w:rPr>
        <w:t xml:space="preserve"> Framework, for example, insists on resistance and rejection of the dominant imperialist – Western – culture, language and identity, amongst others, in order to realise decolonised states’ national interests.</w:t>
      </w:r>
      <w:r w:rsidRPr="00CD6659">
        <w:rPr>
          <w:rStyle w:val="FootnoteReference"/>
          <w:rFonts w:asciiTheme="minorHAnsi" w:hAnsiTheme="minorHAnsi" w:cstheme="minorHAnsi"/>
          <w:sz w:val="24"/>
          <w:szCs w:val="24"/>
        </w:rPr>
        <w:footnoteReference w:id="39"/>
      </w:r>
      <w:r w:rsidRPr="00CD6659">
        <w:rPr>
          <w:rFonts w:asciiTheme="minorHAnsi" w:hAnsiTheme="minorHAnsi" w:cstheme="minorHAnsi"/>
          <w:sz w:val="24"/>
          <w:szCs w:val="24"/>
        </w:rPr>
        <w:t xml:space="preserve"> </w:t>
      </w:r>
    </w:p>
    <w:p w:rsidR="002D1ED2" w:rsidRDefault="002D1ED2" w:rsidP="002D1ED2">
      <w:pPr>
        <w:pStyle w:val="FootnoteText"/>
        <w:spacing w:line="240" w:lineRule="auto"/>
        <w:rPr>
          <w:rFonts w:asciiTheme="minorHAnsi" w:hAnsiTheme="minorHAnsi" w:cstheme="minorHAnsi"/>
          <w:sz w:val="24"/>
          <w:szCs w:val="24"/>
        </w:rPr>
      </w:pPr>
    </w:p>
    <w:p w:rsidR="002D1ED2" w:rsidRDefault="002D1ED2" w:rsidP="002D1ED2">
      <w:pPr>
        <w:pStyle w:val="FootnoteText"/>
        <w:spacing w:line="240" w:lineRule="auto"/>
        <w:rPr>
          <w:rFonts w:asciiTheme="minorHAnsi" w:hAnsiTheme="minorHAnsi" w:cstheme="minorHAnsi"/>
          <w:sz w:val="24"/>
          <w:szCs w:val="24"/>
        </w:rPr>
      </w:pPr>
      <w:r w:rsidRPr="00CD6659">
        <w:rPr>
          <w:rFonts w:asciiTheme="minorHAnsi" w:hAnsiTheme="minorHAnsi" w:cstheme="minorHAnsi"/>
          <w:sz w:val="24"/>
          <w:szCs w:val="24"/>
        </w:rPr>
        <w:t>The advent of the right to self-determination being realised and implemented</w:t>
      </w:r>
      <w:r>
        <w:rPr>
          <w:rFonts w:asciiTheme="minorHAnsi" w:hAnsiTheme="minorHAnsi" w:cstheme="minorHAnsi"/>
          <w:sz w:val="24"/>
          <w:szCs w:val="24"/>
        </w:rPr>
        <w:t xml:space="preserve"> </w:t>
      </w:r>
      <w:r w:rsidRPr="00CD6659">
        <w:rPr>
          <w:rFonts w:asciiTheme="minorHAnsi" w:hAnsiTheme="minorHAnsi" w:cstheme="minorHAnsi"/>
          <w:sz w:val="24"/>
          <w:szCs w:val="24"/>
        </w:rPr>
        <w:t>– that right being the oldest and most enshrined Third Generation Right</w:t>
      </w:r>
      <w:r w:rsidRPr="00CD6659">
        <w:rPr>
          <w:rStyle w:val="FootnoteReference"/>
          <w:rFonts w:asciiTheme="minorHAnsi" w:hAnsiTheme="minorHAnsi" w:cstheme="minorHAnsi"/>
          <w:sz w:val="24"/>
          <w:szCs w:val="24"/>
        </w:rPr>
        <w:footnoteReference w:id="40"/>
      </w:r>
      <w:r w:rsidRPr="00CD6659">
        <w:rPr>
          <w:rFonts w:asciiTheme="minorHAnsi" w:hAnsiTheme="minorHAnsi" w:cstheme="minorHAnsi"/>
          <w:sz w:val="24"/>
          <w:szCs w:val="24"/>
        </w:rPr>
        <w:t xml:space="preserve"> – clearly is a direct reaction to colonialism and occupation. Peoples’ right to determine who governs over them does not represent a local or regional ideology, but rather is a collective response to each country’s experience of imperialism. The right to self-determination, then, represents neither a distinct ideology on human rights nor a hybrid construction of a third human rights identity. Similarly, the right to sovereignty over permanent resources is another response to the </w:t>
      </w:r>
      <w:r w:rsidRPr="00CD6659">
        <w:rPr>
          <w:rFonts w:asciiTheme="minorHAnsi" w:hAnsiTheme="minorHAnsi" w:cstheme="minorHAnsi"/>
          <w:sz w:val="24"/>
          <w:szCs w:val="24"/>
        </w:rPr>
        <w:lastRenderedPageBreak/>
        <w:t xml:space="preserve">collective experience of colonialism and occupation, with the imperial powers having laid claim to the resources within states under their control. Again, this right does not trace its roots to a distinct or a hybrid ideology. States that had been formed in response to, and out of the ashes of, colonisation sought to assert rights to govern over themselves, as well as to </w:t>
      </w:r>
      <w:r w:rsidRPr="00CD6659">
        <w:rPr>
          <w:rFonts w:asciiTheme="minorHAnsi" w:eastAsia="ヒラギノ角ゴ Pro W3" w:hAnsiTheme="minorHAnsi"/>
          <w:sz w:val="24"/>
          <w:szCs w:val="24"/>
        </w:rPr>
        <w:t>economic and social development</w:t>
      </w:r>
      <w:r w:rsidRPr="00CD6659">
        <w:rPr>
          <w:rFonts w:asciiTheme="minorHAnsi" w:eastAsia="ヒラギノ角ゴ Pro W3" w:hAnsiTheme="minorHAnsi"/>
          <w:sz w:val="24"/>
          <w:szCs w:val="24"/>
          <w:vertAlign w:val="superscript"/>
        </w:rPr>
        <w:footnoteReference w:id="41"/>
      </w:r>
      <w:r w:rsidRPr="00CD6659">
        <w:rPr>
          <w:rFonts w:asciiTheme="minorHAnsi" w:eastAsia="ヒラギノ角ゴ Pro W3" w:hAnsiTheme="minorHAnsi"/>
          <w:sz w:val="24"/>
          <w:szCs w:val="24"/>
        </w:rPr>
        <w:t xml:space="preserve"> and to participate in and benefit from the common heritage of mankind.</w:t>
      </w:r>
      <w:r w:rsidRPr="00CD6659">
        <w:rPr>
          <w:rFonts w:asciiTheme="minorHAnsi" w:eastAsia="ヒラギノ角ゴ Pro W3" w:hAnsiTheme="minorHAnsi"/>
          <w:sz w:val="24"/>
          <w:szCs w:val="24"/>
          <w:vertAlign w:val="superscript"/>
        </w:rPr>
        <w:footnoteReference w:id="42"/>
      </w:r>
      <w:r w:rsidRPr="00CD6659">
        <w:rPr>
          <w:rFonts w:asciiTheme="minorHAnsi" w:hAnsiTheme="minorHAnsi" w:cstheme="minorHAnsi"/>
          <w:sz w:val="24"/>
          <w:szCs w:val="24"/>
        </w:rPr>
        <w:t xml:space="preserve"> Those </w:t>
      </w:r>
      <w:r>
        <w:rPr>
          <w:rFonts w:asciiTheme="minorHAnsi" w:hAnsiTheme="minorHAnsi" w:cstheme="minorHAnsi"/>
          <w:sz w:val="24"/>
          <w:szCs w:val="24"/>
        </w:rPr>
        <w:t xml:space="preserve">rights </w:t>
      </w:r>
      <w:r w:rsidRPr="00CD6659">
        <w:rPr>
          <w:rFonts w:asciiTheme="minorHAnsi" w:hAnsiTheme="minorHAnsi" w:cstheme="minorHAnsi"/>
          <w:sz w:val="24"/>
          <w:szCs w:val="24"/>
        </w:rPr>
        <w:t>were crucial to the decolonisation process, enabling newly self-governing states to assert collective rights to matters previously used by colonisers to subjugate and oppress those peoples.</w:t>
      </w:r>
      <w:r w:rsidRPr="00CD6659">
        <w:rPr>
          <w:rStyle w:val="FootnoteReference"/>
          <w:rFonts w:asciiTheme="minorHAnsi" w:hAnsiTheme="minorHAnsi" w:cstheme="minorHAnsi"/>
          <w:sz w:val="24"/>
          <w:szCs w:val="24"/>
        </w:rPr>
        <w:footnoteReference w:id="43"/>
      </w:r>
    </w:p>
    <w:p w:rsidR="002D1ED2" w:rsidRDefault="002D1ED2" w:rsidP="002D1ED2">
      <w:pPr>
        <w:pStyle w:val="FootnoteText"/>
        <w:spacing w:line="240" w:lineRule="auto"/>
        <w:rPr>
          <w:rFonts w:asciiTheme="minorHAnsi" w:hAnsiTheme="minorHAnsi" w:cstheme="minorHAnsi"/>
          <w:sz w:val="24"/>
          <w:szCs w:val="24"/>
        </w:rPr>
      </w:pPr>
    </w:p>
    <w:p w:rsidR="002D1ED2" w:rsidRDefault="002D1ED2" w:rsidP="002D1ED2">
      <w:pPr>
        <w:pStyle w:val="FootnoteText"/>
        <w:spacing w:line="240" w:lineRule="auto"/>
        <w:rPr>
          <w:rFonts w:asciiTheme="minorHAnsi" w:hAnsiTheme="minorHAnsi" w:cstheme="minorHAnsi"/>
          <w:sz w:val="24"/>
          <w:szCs w:val="24"/>
        </w:rPr>
      </w:pPr>
      <w:r w:rsidRPr="00CD6659">
        <w:rPr>
          <w:rFonts w:asciiTheme="minorHAnsi" w:hAnsiTheme="minorHAnsi" w:cstheme="minorHAnsi"/>
          <w:sz w:val="24"/>
          <w:szCs w:val="24"/>
        </w:rPr>
        <w:t>Current legal, political and ideological battles at the UN, where states are seeking to impact and shape international human rights law,  demonstrate that traditional postcolonial discourses are being complemented by, or replaced with, hybridity. Those battles are following a markedly different pattern than occurred during the creation of post-colonial collective rights. Hybridity is focused on a less oppositional stance</w:t>
      </w:r>
      <w:r w:rsidRPr="00CD6659">
        <w:rPr>
          <w:rStyle w:val="FootnoteReference"/>
          <w:rFonts w:asciiTheme="minorHAnsi" w:hAnsiTheme="minorHAnsi" w:cstheme="minorHAnsi"/>
          <w:sz w:val="24"/>
          <w:szCs w:val="24"/>
        </w:rPr>
        <w:footnoteReference w:id="44"/>
      </w:r>
      <w:r w:rsidRPr="00CD6659">
        <w:rPr>
          <w:rFonts w:asciiTheme="minorHAnsi" w:hAnsiTheme="minorHAnsi" w:cstheme="minorHAnsi"/>
          <w:sz w:val="24"/>
          <w:szCs w:val="24"/>
        </w:rPr>
        <w:t xml:space="preserve"> than traditional post-colonial discourses; it recognises a more ‘syncretic dynamic’</w:t>
      </w:r>
      <w:r w:rsidRPr="00CD6659">
        <w:rPr>
          <w:rStyle w:val="FootnoteReference"/>
          <w:rFonts w:asciiTheme="minorHAnsi" w:hAnsiTheme="minorHAnsi" w:cstheme="minorHAnsi"/>
          <w:sz w:val="24"/>
          <w:szCs w:val="24"/>
        </w:rPr>
        <w:footnoteReference w:id="45"/>
      </w:r>
      <w:r w:rsidRPr="00CD6659">
        <w:rPr>
          <w:rFonts w:asciiTheme="minorHAnsi" w:hAnsiTheme="minorHAnsi" w:cstheme="minorHAnsi"/>
          <w:sz w:val="24"/>
          <w:szCs w:val="24"/>
        </w:rPr>
        <w:t xml:space="preserve"> between the coloniser and the colonised, or the dominant and the dominated. It is a process of ‘engagement with’ rather than ‘opposition to’. That is clearly seen in the way that states from the Global South are using the human rights system, based on the dominant ideology, to further their own constructs and ideologies. Post-colonial rights required the previously individual-centred system radically to change in order to include collective rights. Hybrid rights are less oppositional, because they utilise the existing human rights framework in order to promote norms not previously incorporated within that system. </w:t>
      </w:r>
    </w:p>
    <w:p w:rsidR="002D1ED2" w:rsidRDefault="002D1ED2" w:rsidP="002D1ED2">
      <w:pPr>
        <w:pStyle w:val="FootnoteText"/>
        <w:spacing w:line="240" w:lineRule="auto"/>
        <w:rPr>
          <w:rFonts w:asciiTheme="minorHAnsi" w:hAnsiTheme="minorHAnsi" w:cstheme="minorHAnsi"/>
          <w:sz w:val="24"/>
          <w:szCs w:val="24"/>
        </w:rPr>
      </w:pPr>
    </w:p>
    <w:p w:rsidR="00B728DA" w:rsidRDefault="002D1ED2" w:rsidP="00B728DA">
      <w:pPr>
        <w:pStyle w:val="FootnoteText"/>
        <w:spacing w:line="240" w:lineRule="auto"/>
        <w:rPr>
          <w:rFonts w:asciiTheme="minorHAnsi" w:hAnsiTheme="minorHAnsi" w:cstheme="minorHAnsi"/>
          <w:sz w:val="24"/>
          <w:szCs w:val="24"/>
        </w:rPr>
      </w:pPr>
      <w:r>
        <w:rPr>
          <w:rFonts w:asciiTheme="minorHAnsi" w:hAnsiTheme="minorHAnsi" w:cstheme="minorHAnsi"/>
          <w:sz w:val="24"/>
          <w:szCs w:val="24"/>
        </w:rPr>
        <w:t xml:space="preserve">Hybrid </w:t>
      </w:r>
      <w:r w:rsidR="00FE05CF" w:rsidRPr="00CD6659">
        <w:rPr>
          <w:rFonts w:asciiTheme="minorHAnsi" w:hAnsiTheme="minorHAnsi" w:cstheme="minorHAnsi"/>
          <w:sz w:val="24"/>
          <w:szCs w:val="24"/>
        </w:rPr>
        <w:t>rights are predominantly created and promoted by states from the Global South, particularly from Africa and Asia. Those states’ national ideologies, norms and cultures focus on responsibilities rather than rights</w:t>
      </w:r>
      <w:bookmarkStart w:id="16" w:name="_Ref353275687"/>
      <w:r w:rsidR="00FE05CF" w:rsidRPr="00CD6659">
        <w:rPr>
          <w:rStyle w:val="FootnoteReference"/>
          <w:rFonts w:asciiTheme="minorHAnsi" w:hAnsiTheme="minorHAnsi" w:cstheme="minorHAnsi"/>
          <w:sz w:val="24"/>
          <w:szCs w:val="24"/>
        </w:rPr>
        <w:footnoteReference w:id="46"/>
      </w:r>
      <w:bookmarkEnd w:id="16"/>
      <w:r w:rsidR="00FE05CF" w:rsidRPr="00CD6659">
        <w:rPr>
          <w:rFonts w:asciiTheme="minorHAnsi" w:hAnsiTheme="minorHAnsi" w:cstheme="minorHAnsi"/>
          <w:sz w:val="24"/>
          <w:szCs w:val="24"/>
        </w:rPr>
        <w:t xml:space="preserve"> - differences clearly illustrated when contrasting the African and European regional human rights treaties and mechanisms.</w:t>
      </w:r>
      <w:r w:rsidR="00FE05CF" w:rsidRPr="00CD6659">
        <w:rPr>
          <w:rStyle w:val="FootnoteReference"/>
          <w:rFonts w:asciiTheme="minorHAnsi" w:hAnsiTheme="minorHAnsi" w:cstheme="minorHAnsi"/>
          <w:sz w:val="24"/>
          <w:szCs w:val="24"/>
        </w:rPr>
        <w:footnoteReference w:id="47"/>
      </w:r>
      <w:r w:rsidR="00FE05CF" w:rsidRPr="00CD6659">
        <w:rPr>
          <w:rFonts w:asciiTheme="minorHAnsi" w:hAnsiTheme="minorHAnsi" w:cstheme="minorHAnsi"/>
          <w:sz w:val="24"/>
          <w:szCs w:val="24"/>
        </w:rPr>
        <w:t xml:space="preserve"> Those </w:t>
      </w:r>
      <w:r w:rsidR="00066047">
        <w:rPr>
          <w:rFonts w:asciiTheme="minorHAnsi" w:hAnsiTheme="minorHAnsi" w:cstheme="minorHAnsi"/>
          <w:sz w:val="24"/>
          <w:szCs w:val="24"/>
        </w:rPr>
        <w:t xml:space="preserve">states’ </w:t>
      </w:r>
      <w:r w:rsidR="00FE05CF" w:rsidRPr="00CD6659">
        <w:rPr>
          <w:rFonts w:asciiTheme="minorHAnsi" w:hAnsiTheme="minorHAnsi" w:cstheme="minorHAnsi"/>
          <w:sz w:val="24"/>
          <w:szCs w:val="24"/>
        </w:rPr>
        <w:t xml:space="preserve">use of the </w:t>
      </w:r>
      <w:r w:rsidR="00066047">
        <w:rPr>
          <w:rFonts w:asciiTheme="minorHAnsi" w:hAnsiTheme="minorHAnsi" w:cstheme="minorHAnsi"/>
          <w:sz w:val="24"/>
          <w:szCs w:val="24"/>
        </w:rPr>
        <w:t xml:space="preserve">international </w:t>
      </w:r>
      <w:r w:rsidR="00FE05CF" w:rsidRPr="00CD6659">
        <w:rPr>
          <w:rFonts w:asciiTheme="minorHAnsi" w:hAnsiTheme="minorHAnsi" w:cstheme="minorHAnsi"/>
          <w:sz w:val="24"/>
          <w:szCs w:val="24"/>
        </w:rPr>
        <w:t>human rights system, with its traditional individual-centred focus, is a stark example of the intertwining of national cultures and norms with the dominant, Western mechanisms and framework. By engaging with the system of ‘rights’, and by seeking to promote their own objectives within that framework, states from the Global South are using hybridity theories to inform their actions and to create processes and constructs that meet and challenge the dominant ideology.</w:t>
      </w:r>
    </w:p>
    <w:p w:rsidR="002D1ED2" w:rsidRDefault="002D1ED2" w:rsidP="00B728DA">
      <w:pPr>
        <w:pStyle w:val="FootnoteText"/>
        <w:spacing w:line="240" w:lineRule="auto"/>
        <w:rPr>
          <w:rFonts w:asciiTheme="minorHAnsi" w:hAnsiTheme="minorHAnsi" w:cstheme="minorHAnsi"/>
          <w:sz w:val="24"/>
          <w:szCs w:val="24"/>
        </w:rPr>
      </w:pPr>
    </w:p>
    <w:p w:rsidR="00590504" w:rsidRDefault="00277D74" w:rsidP="00B728DA">
      <w:pPr>
        <w:pStyle w:val="FootnoteText"/>
        <w:spacing w:line="240" w:lineRule="auto"/>
        <w:rPr>
          <w:rFonts w:asciiTheme="minorHAnsi" w:hAnsiTheme="minorHAnsi" w:cstheme="minorHAnsi"/>
          <w:sz w:val="24"/>
          <w:szCs w:val="24"/>
        </w:rPr>
      </w:pPr>
      <w:r>
        <w:rPr>
          <w:rFonts w:asciiTheme="minorHAnsi" w:hAnsiTheme="minorHAnsi" w:cstheme="minorHAnsi"/>
          <w:sz w:val="24"/>
          <w:szCs w:val="24"/>
        </w:rPr>
        <w:t>The impact of hybridity – as theory, process and entity –</w:t>
      </w:r>
      <w:r w:rsidR="00FE05CF" w:rsidRPr="00CD6659">
        <w:rPr>
          <w:rFonts w:asciiTheme="minorHAnsi" w:hAnsiTheme="minorHAnsi" w:cstheme="minorHAnsi"/>
          <w:sz w:val="24"/>
          <w:szCs w:val="24"/>
        </w:rPr>
        <w:t xml:space="preserve"> depends on two distinct factors: (1) </w:t>
      </w:r>
      <w:r w:rsidR="00FE05CF" w:rsidRPr="00CD6659">
        <w:rPr>
          <w:rFonts w:asciiTheme="minorHAnsi" w:hAnsiTheme="minorHAnsi" w:cstheme="minorHAnsi"/>
          <w:sz w:val="24"/>
          <w:szCs w:val="24"/>
        </w:rPr>
        <w:lastRenderedPageBreak/>
        <w:t>the impact of states’ hybrid identities, created at the national level, within the international arena; and (2) the construction of hybrid identities through ‘Third Space’ fora within the international arena. States, particularly from Africa, Asia and Latin America, use political blocs and international institutions to further their own ideologies and objectives as well as to construct hybrid identities and aims at the international level. Political blocs and international institutions provide arenas within which states from the Global South can exercise collective power.</w:t>
      </w:r>
      <w:r w:rsidR="00FE05CF" w:rsidRPr="00CD6659">
        <w:rPr>
          <w:rStyle w:val="FootnoteReference"/>
          <w:rFonts w:asciiTheme="minorHAnsi" w:hAnsiTheme="minorHAnsi" w:cstheme="minorHAnsi"/>
          <w:sz w:val="24"/>
          <w:szCs w:val="24"/>
        </w:rPr>
        <w:footnoteReference w:id="48"/>
      </w:r>
      <w:r w:rsidR="00FE05CF" w:rsidRPr="00CD6659">
        <w:rPr>
          <w:rFonts w:asciiTheme="minorHAnsi" w:hAnsiTheme="minorHAnsi" w:cstheme="minorHAnsi"/>
          <w:sz w:val="24"/>
          <w:szCs w:val="24"/>
        </w:rPr>
        <w:t xml:space="preserve"> Whereas such fora previously were used to unite behind postcolonial discourses, they are now utilised to create hybrid objectives that member states then collectively promote and support. Individually or in sub-groups, those same countries lack the power needed to challenge dominant states and ideologies. As a bloc, they are able to pursue collective aims. </w:t>
      </w:r>
    </w:p>
    <w:p w:rsidR="00590504" w:rsidRDefault="00590504" w:rsidP="00B728DA">
      <w:pPr>
        <w:pStyle w:val="FootnoteText"/>
        <w:spacing w:line="240" w:lineRule="auto"/>
        <w:rPr>
          <w:rFonts w:asciiTheme="minorHAnsi" w:hAnsiTheme="minorHAnsi" w:cstheme="minorHAnsi"/>
          <w:sz w:val="24"/>
          <w:szCs w:val="24"/>
        </w:rPr>
      </w:pPr>
    </w:p>
    <w:p w:rsidR="00B728DA" w:rsidRDefault="00FE05CF" w:rsidP="00B728DA">
      <w:pPr>
        <w:pStyle w:val="FootnoteText"/>
        <w:spacing w:line="240" w:lineRule="auto"/>
        <w:rPr>
          <w:rFonts w:asciiTheme="minorHAnsi" w:hAnsiTheme="minorHAnsi" w:cstheme="minorHAnsi"/>
          <w:sz w:val="24"/>
          <w:szCs w:val="24"/>
        </w:rPr>
      </w:pPr>
      <w:r w:rsidRPr="00CD6659">
        <w:rPr>
          <w:rFonts w:asciiTheme="minorHAnsi" w:hAnsiTheme="minorHAnsi" w:cstheme="minorHAnsi"/>
          <w:sz w:val="24"/>
          <w:szCs w:val="24"/>
        </w:rPr>
        <w:t>The range of heterogeneous identities within such blocs can be seen in the older alliances of the Non-Aligned Movement and the Group of 77</w:t>
      </w:r>
      <w:r w:rsidRPr="00CD6659">
        <w:rPr>
          <w:rStyle w:val="FootnoteReference"/>
          <w:rFonts w:asciiTheme="minorHAnsi" w:hAnsiTheme="minorHAnsi" w:cstheme="minorHAnsi"/>
          <w:sz w:val="24"/>
          <w:szCs w:val="24"/>
        </w:rPr>
        <w:footnoteReference w:id="49"/>
      </w:r>
      <w:r w:rsidRPr="00CD6659">
        <w:rPr>
          <w:rFonts w:asciiTheme="minorHAnsi" w:hAnsiTheme="minorHAnsi" w:cstheme="minorHAnsi"/>
          <w:sz w:val="24"/>
          <w:szCs w:val="24"/>
        </w:rPr>
        <w:t xml:space="preserve"> – whose allegiances originally stemmed from anti-imperialism and lack of alignment to the dominant powers – as well as in the more recently-created Organisation of Islamic Cooperation and G7+.</w:t>
      </w:r>
      <w:r w:rsidRPr="00CD6659">
        <w:rPr>
          <w:rStyle w:val="FootnoteReference"/>
          <w:rFonts w:asciiTheme="minorHAnsi" w:hAnsiTheme="minorHAnsi" w:cstheme="minorHAnsi"/>
          <w:sz w:val="24"/>
          <w:szCs w:val="24"/>
        </w:rPr>
        <w:footnoteReference w:id="50"/>
      </w:r>
      <w:r w:rsidRPr="00CD6659">
        <w:rPr>
          <w:rFonts w:asciiTheme="minorHAnsi" w:hAnsiTheme="minorHAnsi" w:cstheme="minorHAnsi"/>
          <w:sz w:val="24"/>
          <w:szCs w:val="24"/>
        </w:rPr>
        <w:t xml:space="preserve"> All of those blocs span at least 3 of the 5 geographic regions, which enables formation of significant cross-regional alliances. Heterogeneity requires objectives to be forged through a hybridity process, resulting in hybrid constructs based on a mosaic of norms, cultures, values and experiences. </w:t>
      </w:r>
      <w:r w:rsidR="008E1C75">
        <w:rPr>
          <w:rFonts w:asciiTheme="minorHAnsi" w:hAnsiTheme="minorHAnsi" w:cstheme="minorHAnsi"/>
          <w:sz w:val="24"/>
          <w:szCs w:val="24"/>
        </w:rPr>
        <w:t>Those constructs are represented within hybrid human rights.</w:t>
      </w:r>
    </w:p>
    <w:p w:rsidR="00B728DA" w:rsidRDefault="00B728DA" w:rsidP="00FE05CF">
      <w:pPr>
        <w:rPr>
          <w:rFonts w:cstheme="minorHAnsi"/>
          <w:sz w:val="24"/>
          <w:szCs w:val="24"/>
        </w:rPr>
      </w:pPr>
    </w:p>
    <w:p w:rsidR="00590504" w:rsidRPr="00CD6659" w:rsidRDefault="00590504" w:rsidP="00FE05CF">
      <w:pPr>
        <w:rPr>
          <w:rFonts w:cstheme="minorHAnsi"/>
          <w:sz w:val="24"/>
          <w:szCs w:val="24"/>
        </w:rPr>
      </w:pPr>
    </w:p>
    <w:p w:rsidR="00590504" w:rsidRPr="00590504" w:rsidRDefault="00431F8B" w:rsidP="00FE05CF">
      <w:pPr>
        <w:pStyle w:val="ListParagraph"/>
        <w:numPr>
          <w:ilvl w:val="0"/>
          <w:numId w:val="1"/>
        </w:numPr>
        <w:rPr>
          <w:rFonts w:cstheme="minorHAnsi"/>
          <w:b/>
          <w:sz w:val="24"/>
          <w:szCs w:val="24"/>
        </w:rPr>
      </w:pPr>
      <w:r w:rsidRPr="00CD6659">
        <w:rPr>
          <w:rFonts w:cstheme="minorHAnsi"/>
          <w:b/>
          <w:sz w:val="24"/>
          <w:szCs w:val="24"/>
        </w:rPr>
        <w:t>Hybrid Human Rights</w:t>
      </w:r>
    </w:p>
    <w:p w:rsidR="00590504" w:rsidRDefault="00590504" w:rsidP="00590504">
      <w:pPr>
        <w:pStyle w:val="FootnoteText"/>
        <w:spacing w:line="240" w:lineRule="auto"/>
        <w:rPr>
          <w:rFonts w:asciiTheme="minorHAnsi" w:hAnsiTheme="minorHAnsi" w:cstheme="minorHAnsi"/>
          <w:sz w:val="24"/>
          <w:szCs w:val="24"/>
        </w:rPr>
      </w:pPr>
      <w:r w:rsidRPr="00CD6659">
        <w:rPr>
          <w:rFonts w:asciiTheme="minorHAnsi" w:hAnsiTheme="minorHAnsi" w:cstheme="minorHAnsi"/>
          <w:sz w:val="24"/>
          <w:szCs w:val="24"/>
        </w:rPr>
        <w:t xml:space="preserve">Hybrid human rights are based on hybrid identities, created through hybrid processes and contain hybrid constructs. They are promoted through ‘soft law’ methods that circumvent the need for custom or treaties to create international law. </w:t>
      </w:r>
      <w:r>
        <w:rPr>
          <w:rFonts w:asciiTheme="minorHAnsi" w:hAnsiTheme="minorHAnsi" w:cstheme="minorHAnsi"/>
          <w:sz w:val="24"/>
          <w:szCs w:val="24"/>
        </w:rPr>
        <w:t xml:space="preserve">Soft law </w:t>
      </w:r>
      <w:r w:rsidRPr="00CD6659">
        <w:rPr>
          <w:rFonts w:asciiTheme="minorHAnsi" w:hAnsiTheme="minorHAnsi" w:cstheme="minorHAnsi"/>
          <w:sz w:val="24"/>
          <w:szCs w:val="24"/>
        </w:rPr>
        <w:t xml:space="preserve">methods include political resolutions and decisions, including at the UN General Assembly and the Human Rights Council, through the creation of Special Procedures mandates to monitor and report on these ‘rights’, and through integration of these norms at the international level. </w:t>
      </w:r>
      <w:r w:rsidR="00806561">
        <w:rPr>
          <w:rFonts w:asciiTheme="minorHAnsi" w:hAnsiTheme="minorHAnsi" w:cstheme="minorHAnsi"/>
          <w:sz w:val="24"/>
          <w:szCs w:val="24"/>
        </w:rPr>
        <w:t xml:space="preserve">They </w:t>
      </w:r>
      <w:r>
        <w:rPr>
          <w:rFonts w:asciiTheme="minorHAnsi" w:hAnsiTheme="minorHAnsi" w:cstheme="minorHAnsi"/>
          <w:sz w:val="24"/>
          <w:szCs w:val="24"/>
        </w:rPr>
        <w:t xml:space="preserve">raise </w:t>
      </w:r>
      <w:r w:rsidR="00806561">
        <w:rPr>
          <w:rFonts w:asciiTheme="minorHAnsi" w:hAnsiTheme="minorHAnsi" w:cstheme="minorHAnsi"/>
          <w:sz w:val="24"/>
          <w:szCs w:val="24"/>
        </w:rPr>
        <w:t>a number of problems, not least</w:t>
      </w:r>
      <w:r w:rsidRPr="00CD6659">
        <w:rPr>
          <w:rFonts w:asciiTheme="minorHAnsi" w:hAnsiTheme="minorHAnsi" w:cstheme="minorHAnsi"/>
          <w:sz w:val="24"/>
          <w:szCs w:val="24"/>
        </w:rPr>
        <w:t xml:space="preserve"> whether the human rights matrix is the most appropriate for dealing with many of these new ‘rights’; the extent to which hybrid rights are being used by states with poor human rights records who seek to dilute or undermine the international human rights system; and whether new ‘rights’ ought to be developed where they are in clear tension, or even conflict, with traditional understandings of what constitutes a ‘human right’. </w:t>
      </w:r>
    </w:p>
    <w:p w:rsidR="00590504" w:rsidRDefault="00590504" w:rsidP="00590504">
      <w:pPr>
        <w:pStyle w:val="FootnoteText"/>
        <w:spacing w:line="240" w:lineRule="auto"/>
        <w:rPr>
          <w:rFonts w:asciiTheme="minorHAnsi" w:hAnsiTheme="minorHAnsi" w:cstheme="minorHAnsi"/>
          <w:sz w:val="24"/>
          <w:szCs w:val="24"/>
        </w:rPr>
      </w:pPr>
    </w:p>
    <w:p w:rsidR="00FE05CF" w:rsidRPr="00806561" w:rsidRDefault="00806561" w:rsidP="00806561">
      <w:pPr>
        <w:pStyle w:val="FootnoteText"/>
        <w:spacing w:line="240" w:lineRule="auto"/>
        <w:rPr>
          <w:rFonts w:asciiTheme="minorHAnsi" w:hAnsiTheme="minorHAnsi" w:cstheme="minorHAnsi"/>
          <w:sz w:val="24"/>
          <w:szCs w:val="24"/>
        </w:rPr>
      </w:pPr>
      <w:r w:rsidRPr="00590504">
        <w:rPr>
          <w:rFonts w:asciiTheme="minorHAnsi" w:hAnsiTheme="minorHAnsi" w:cstheme="minorHAnsi"/>
          <w:sz w:val="24"/>
          <w:szCs w:val="24"/>
        </w:rPr>
        <w:lastRenderedPageBreak/>
        <w:t>Hybrid rights include</w:t>
      </w:r>
      <w:r w:rsidRPr="00590504" w:rsidDel="007016A3">
        <w:rPr>
          <w:rFonts w:asciiTheme="minorHAnsi" w:hAnsiTheme="minorHAnsi" w:cstheme="minorHAnsi"/>
          <w:sz w:val="24"/>
          <w:szCs w:val="24"/>
        </w:rPr>
        <w:t xml:space="preserve"> to a democratic and equitable international order; international solidarity; to a clean and healthy environment</w:t>
      </w:r>
      <w:r w:rsidRPr="00590504">
        <w:rPr>
          <w:rFonts w:asciiTheme="minorHAnsi" w:hAnsiTheme="minorHAnsi" w:cstheme="minorHAnsi"/>
          <w:sz w:val="24"/>
          <w:szCs w:val="24"/>
        </w:rPr>
        <w:t>; and to peace</w:t>
      </w:r>
      <w:r w:rsidRPr="00590504" w:rsidDel="007016A3">
        <w:rPr>
          <w:rFonts w:asciiTheme="minorHAnsi" w:hAnsiTheme="minorHAnsi" w:cstheme="minorHAnsi"/>
          <w:sz w:val="24"/>
          <w:szCs w:val="24"/>
        </w:rPr>
        <w:t xml:space="preserve">. </w:t>
      </w:r>
      <w:r w:rsidRPr="00590504">
        <w:rPr>
          <w:rFonts w:asciiTheme="minorHAnsi" w:hAnsiTheme="minorHAnsi" w:cstheme="minorHAnsi"/>
          <w:sz w:val="24"/>
          <w:szCs w:val="24"/>
        </w:rPr>
        <w:t>The</w:t>
      </w:r>
      <w:r>
        <w:rPr>
          <w:rFonts w:asciiTheme="minorHAnsi" w:hAnsiTheme="minorHAnsi" w:cstheme="minorHAnsi"/>
          <w:sz w:val="24"/>
          <w:szCs w:val="24"/>
        </w:rPr>
        <w:t>y</w:t>
      </w:r>
      <w:r w:rsidRPr="00590504">
        <w:rPr>
          <w:rFonts w:asciiTheme="minorHAnsi" w:hAnsiTheme="minorHAnsi" w:cstheme="minorHAnsi"/>
          <w:sz w:val="24"/>
          <w:szCs w:val="24"/>
        </w:rPr>
        <w:t xml:space="preserve"> are not representative of a </w:t>
      </w:r>
      <w:r>
        <w:rPr>
          <w:rFonts w:asciiTheme="minorHAnsi" w:hAnsiTheme="minorHAnsi" w:cstheme="minorHAnsi"/>
          <w:sz w:val="24"/>
          <w:szCs w:val="24"/>
        </w:rPr>
        <w:t xml:space="preserve">distinct </w:t>
      </w:r>
      <w:r w:rsidRPr="00590504">
        <w:rPr>
          <w:rFonts w:asciiTheme="minorHAnsi" w:hAnsiTheme="minorHAnsi" w:cstheme="minorHAnsi"/>
          <w:sz w:val="24"/>
          <w:szCs w:val="24"/>
        </w:rPr>
        <w:t xml:space="preserve">ideology, but rather of the many </w:t>
      </w:r>
      <w:proofErr w:type="gramStart"/>
      <w:r w:rsidRPr="00590504">
        <w:rPr>
          <w:rFonts w:asciiTheme="minorHAnsi" w:hAnsiTheme="minorHAnsi" w:cstheme="minorHAnsi"/>
          <w:sz w:val="24"/>
          <w:szCs w:val="24"/>
        </w:rPr>
        <w:t>hybrid</w:t>
      </w:r>
      <w:proofErr w:type="gramEnd"/>
      <w:r w:rsidRPr="00590504">
        <w:rPr>
          <w:rFonts w:asciiTheme="minorHAnsi" w:hAnsiTheme="minorHAnsi" w:cstheme="minorHAnsi"/>
          <w:sz w:val="24"/>
          <w:szCs w:val="24"/>
        </w:rPr>
        <w:t xml:space="preserve"> national identities and values constructed by states at the local level and then intertwined with one another within the international arena. Each ideological construct </w:t>
      </w:r>
      <w:r>
        <w:rPr>
          <w:rFonts w:asciiTheme="minorHAnsi" w:hAnsiTheme="minorHAnsi" w:cstheme="minorHAnsi"/>
          <w:sz w:val="24"/>
          <w:szCs w:val="24"/>
        </w:rPr>
        <w:t xml:space="preserve">underpinning a right </w:t>
      </w:r>
      <w:r w:rsidRPr="00590504">
        <w:rPr>
          <w:rFonts w:asciiTheme="minorHAnsi" w:hAnsiTheme="minorHAnsi" w:cstheme="minorHAnsi"/>
          <w:sz w:val="24"/>
          <w:szCs w:val="24"/>
        </w:rPr>
        <w:t>depends on the states that create and promote the right</w:t>
      </w:r>
      <w:r>
        <w:rPr>
          <w:rFonts w:asciiTheme="minorHAnsi" w:hAnsiTheme="minorHAnsi" w:cstheme="minorHAnsi"/>
          <w:sz w:val="24"/>
          <w:szCs w:val="24"/>
        </w:rPr>
        <w:t>.</w:t>
      </w:r>
      <w:r w:rsidRPr="00590504">
        <w:rPr>
          <w:rFonts w:asciiTheme="minorHAnsi" w:hAnsiTheme="minorHAnsi" w:cstheme="minorHAnsi"/>
          <w:sz w:val="24"/>
          <w:szCs w:val="24"/>
        </w:rPr>
        <w:t xml:space="preserve"> </w:t>
      </w:r>
      <w:r w:rsidRPr="00806561">
        <w:rPr>
          <w:rFonts w:asciiTheme="minorHAnsi" w:hAnsiTheme="minorHAnsi" w:cstheme="minorHAnsi"/>
          <w:sz w:val="24"/>
          <w:szCs w:val="24"/>
        </w:rPr>
        <w:t xml:space="preserve">The </w:t>
      </w:r>
      <w:r w:rsidR="00FE05CF" w:rsidRPr="00806561">
        <w:rPr>
          <w:rFonts w:asciiTheme="minorHAnsi" w:hAnsiTheme="minorHAnsi" w:cstheme="minorHAnsi"/>
          <w:sz w:val="24"/>
          <w:szCs w:val="24"/>
        </w:rPr>
        <w:t xml:space="preserve">rights build upon the idea of people’s rights - incorporating collectiveness of people, nations and states. They also develop the subject matter of human rights. Although traditional rights touch upon areas linked to human rights, such as labour and social justice, they are aimed largely at </w:t>
      </w:r>
      <w:r>
        <w:rPr>
          <w:rFonts w:asciiTheme="minorHAnsi" w:hAnsiTheme="minorHAnsi" w:cstheme="minorHAnsi"/>
          <w:sz w:val="24"/>
          <w:szCs w:val="24"/>
        </w:rPr>
        <w:t xml:space="preserve">the individual not the collective and so the additional areas are peripheral rather than central to the right. </w:t>
      </w:r>
      <w:r w:rsidR="00FE05CF" w:rsidRPr="00806561">
        <w:rPr>
          <w:rFonts w:asciiTheme="minorHAnsi" w:hAnsiTheme="minorHAnsi" w:cstheme="minorHAnsi"/>
          <w:sz w:val="24"/>
          <w:szCs w:val="24"/>
        </w:rPr>
        <w:t xml:space="preserve">One interesting feature of </w:t>
      </w:r>
      <w:r w:rsidR="00C61FF5" w:rsidRPr="00806561">
        <w:rPr>
          <w:rFonts w:asciiTheme="minorHAnsi" w:hAnsiTheme="minorHAnsi" w:cstheme="minorHAnsi"/>
          <w:sz w:val="24"/>
          <w:szCs w:val="24"/>
        </w:rPr>
        <w:t xml:space="preserve">hybrid rights </w:t>
      </w:r>
      <w:r w:rsidR="00FE05CF" w:rsidRPr="00806561">
        <w:rPr>
          <w:rFonts w:asciiTheme="minorHAnsi" w:hAnsiTheme="minorHAnsi" w:cstheme="minorHAnsi"/>
          <w:sz w:val="24"/>
          <w:szCs w:val="24"/>
        </w:rPr>
        <w:t xml:space="preserve">is that some of them bring into the human rights matrix matters that are linked to human rights but would traditionally have been dealt with through other institutions. In particular, issues that might better be addressed through environmental bodies or financial institutions are being viewed through a human rights prism. This may be owing to hybrid ideologies on human rights, with the use of </w:t>
      </w:r>
      <w:proofErr w:type="spellStart"/>
      <w:r w:rsidR="00FE05CF" w:rsidRPr="00806561">
        <w:rPr>
          <w:rFonts w:asciiTheme="minorHAnsi" w:hAnsiTheme="minorHAnsi" w:cstheme="minorHAnsi"/>
          <w:sz w:val="24"/>
          <w:szCs w:val="24"/>
        </w:rPr>
        <w:t>Bhabha’s</w:t>
      </w:r>
      <w:proofErr w:type="spellEnd"/>
      <w:r w:rsidR="00FE05CF" w:rsidRPr="00806561">
        <w:rPr>
          <w:rFonts w:asciiTheme="minorHAnsi" w:hAnsiTheme="minorHAnsi" w:cstheme="minorHAnsi"/>
          <w:sz w:val="24"/>
          <w:szCs w:val="24"/>
        </w:rPr>
        <w:t xml:space="preserve"> ‘Third Space’ to construct new ways of thinking about what constitutes a ‘human right’ and whether such rights can exist within a vacuum. Another, </w:t>
      </w:r>
      <w:r w:rsidR="00C61FF5" w:rsidRPr="00806561">
        <w:rPr>
          <w:rFonts w:asciiTheme="minorHAnsi" w:hAnsiTheme="minorHAnsi" w:cstheme="minorHAnsi"/>
          <w:sz w:val="24"/>
          <w:szCs w:val="24"/>
        </w:rPr>
        <w:t xml:space="preserve">perhaps </w:t>
      </w:r>
      <w:r w:rsidR="00FE05CF" w:rsidRPr="00806561">
        <w:rPr>
          <w:rFonts w:asciiTheme="minorHAnsi" w:hAnsiTheme="minorHAnsi" w:cstheme="minorHAnsi"/>
          <w:sz w:val="24"/>
          <w:szCs w:val="24"/>
        </w:rPr>
        <w:t xml:space="preserve">more </w:t>
      </w:r>
      <w:proofErr w:type="gramStart"/>
      <w:r w:rsidR="00FE05CF" w:rsidRPr="00806561">
        <w:rPr>
          <w:rFonts w:asciiTheme="minorHAnsi" w:hAnsiTheme="minorHAnsi" w:cstheme="minorHAnsi"/>
          <w:sz w:val="24"/>
          <w:szCs w:val="24"/>
        </w:rPr>
        <w:t>realist</w:t>
      </w:r>
      <w:proofErr w:type="gramEnd"/>
      <w:r w:rsidR="00FE05CF" w:rsidRPr="00806561">
        <w:rPr>
          <w:rFonts w:asciiTheme="minorHAnsi" w:hAnsiTheme="minorHAnsi" w:cstheme="minorHAnsi"/>
          <w:sz w:val="24"/>
          <w:szCs w:val="24"/>
        </w:rPr>
        <w:t>, perspective is that other institutions are less effective than those within the human rights matrix, and therefore states are using hybrid constructs to enable such matters to be brought within the human rights matrix.</w:t>
      </w:r>
    </w:p>
    <w:p w:rsidR="00B1439D" w:rsidRDefault="00B1439D" w:rsidP="00B1439D">
      <w:pPr>
        <w:pStyle w:val="FootnoteText"/>
        <w:spacing w:line="240" w:lineRule="auto"/>
        <w:rPr>
          <w:rFonts w:asciiTheme="minorHAnsi" w:hAnsiTheme="minorHAnsi" w:cstheme="minorHAnsi"/>
          <w:sz w:val="24"/>
          <w:szCs w:val="24"/>
        </w:rPr>
      </w:pPr>
    </w:p>
    <w:p w:rsidR="00FE05CF" w:rsidRPr="00B1439D" w:rsidRDefault="0069437C" w:rsidP="00B1439D">
      <w:pPr>
        <w:pStyle w:val="FootnoteText"/>
        <w:spacing w:line="240" w:lineRule="auto"/>
        <w:rPr>
          <w:rFonts w:asciiTheme="minorHAnsi" w:hAnsiTheme="minorHAnsi" w:cstheme="minorHAnsi"/>
          <w:sz w:val="24"/>
          <w:szCs w:val="24"/>
        </w:rPr>
      </w:pPr>
      <w:r>
        <w:rPr>
          <w:rFonts w:asciiTheme="minorHAnsi" w:hAnsiTheme="minorHAnsi" w:cstheme="minorHAnsi"/>
          <w:sz w:val="24"/>
          <w:szCs w:val="24"/>
        </w:rPr>
        <w:t>I shall explore the three main ways in which h</w:t>
      </w:r>
      <w:r w:rsidR="00C61FF5" w:rsidRPr="00B1439D">
        <w:rPr>
          <w:rFonts w:asciiTheme="minorHAnsi" w:hAnsiTheme="minorHAnsi" w:cstheme="minorHAnsi"/>
          <w:sz w:val="24"/>
          <w:szCs w:val="24"/>
        </w:rPr>
        <w:t>ybrid rights</w:t>
      </w:r>
      <w:r w:rsidR="00806561">
        <w:rPr>
          <w:rFonts w:asciiTheme="minorHAnsi" w:hAnsiTheme="minorHAnsi" w:cstheme="minorHAnsi"/>
          <w:sz w:val="24"/>
          <w:szCs w:val="24"/>
        </w:rPr>
        <w:t xml:space="preserve"> </w:t>
      </w:r>
      <w:r w:rsidR="00FE05CF" w:rsidRPr="00B1439D">
        <w:rPr>
          <w:rFonts w:asciiTheme="minorHAnsi" w:hAnsiTheme="minorHAnsi" w:cstheme="minorHAnsi"/>
          <w:sz w:val="24"/>
          <w:szCs w:val="24"/>
        </w:rPr>
        <w:t xml:space="preserve">challenge </w:t>
      </w:r>
      <w:r>
        <w:rPr>
          <w:rFonts w:asciiTheme="minorHAnsi" w:hAnsiTheme="minorHAnsi" w:cstheme="minorHAnsi"/>
          <w:sz w:val="24"/>
          <w:szCs w:val="24"/>
        </w:rPr>
        <w:t xml:space="preserve">and impact upon </w:t>
      </w:r>
      <w:r w:rsidR="00FE05CF" w:rsidRPr="00B1439D">
        <w:rPr>
          <w:rFonts w:asciiTheme="minorHAnsi" w:hAnsiTheme="minorHAnsi" w:cstheme="minorHAnsi"/>
          <w:sz w:val="24"/>
          <w:szCs w:val="24"/>
        </w:rPr>
        <w:t xml:space="preserve">the dominant </w:t>
      </w:r>
      <w:r w:rsidR="00C61FF5" w:rsidRPr="00B1439D">
        <w:rPr>
          <w:rFonts w:asciiTheme="minorHAnsi" w:hAnsiTheme="minorHAnsi" w:cstheme="minorHAnsi"/>
          <w:sz w:val="24"/>
          <w:szCs w:val="24"/>
        </w:rPr>
        <w:t>international human rights law framework</w:t>
      </w:r>
      <w:r w:rsidR="00B1439D">
        <w:rPr>
          <w:rFonts w:asciiTheme="minorHAnsi" w:hAnsiTheme="minorHAnsi" w:cstheme="minorHAnsi"/>
          <w:sz w:val="24"/>
          <w:szCs w:val="24"/>
        </w:rPr>
        <w:t xml:space="preserve">: in </w:t>
      </w:r>
      <w:r w:rsidR="00FE05CF" w:rsidRPr="00B1439D">
        <w:rPr>
          <w:rFonts w:asciiTheme="minorHAnsi" w:hAnsiTheme="minorHAnsi" w:cstheme="minorHAnsi"/>
          <w:sz w:val="24"/>
          <w:szCs w:val="24"/>
        </w:rPr>
        <w:t xml:space="preserve">terms of </w:t>
      </w:r>
      <w:r w:rsidR="00B1439D">
        <w:rPr>
          <w:rFonts w:asciiTheme="minorHAnsi" w:hAnsiTheme="minorHAnsi" w:cstheme="minorHAnsi"/>
          <w:sz w:val="24"/>
          <w:szCs w:val="24"/>
        </w:rPr>
        <w:t xml:space="preserve">(a) </w:t>
      </w:r>
      <w:r w:rsidR="00FE05CF" w:rsidRPr="00B1439D">
        <w:rPr>
          <w:rFonts w:asciiTheme="minorHAnsi" w:hAnsiTheme="minorHAnsi" w:cstheme="minorHAnsi"/>
          <w:sz w:val="24"/>
          <w:szCs w:val="24"/>
        </w:rPr>
        <w:t xml:space="preserve">substance, </w:t>
      </w:r>
      <w:r w:rsidR="00B1439D">
        <w:rPr>
          <w:rFonts w:asciiTheme="minorHAnsi" w:hAnsiTheme="minorHAnsi" w:cstheme="minorHAnsi"/>
          <w:sz w:val="24"/>
          <w:szCs w:val="24"/>
        </w:rPr>
        <w:t xml:space="preserve">(b) </w:t>
      </w:r>
      <w:r w:rsidR="00FE05CF" w:rsidRPr="00B1439D">
        <w:rPr>
          <w:rFonts w:asciiTheme="minorHAnsi" w:hAnsiTheme="minorHAnsi" w:cstheme="minorHAnsi"/>
          <w:sz w:val="24"/>
          <w:szCs w:val="24"/>
        </w:rPr>
        <w:t xml:space="preserve">subjects and </w:t>
      </w:r>
      <w:r w:rsidR="00B1439D">
        <w:rPr>
          <w:rFonts w:asciiTheme="minorHAnsi" w:hAnsiTheme="minorHAnsi" w:cstheme="minorHAnsi"/>
          <w:sz w:val="24"/>
          <w:szCs w:val="24"/>
        </w:rPr>
        <w:t xml:space="preserve">(c) </w:t>
      </w:r>
      <w:r w:rsidR="00FE05CF" w:rsidRPr="00B1439D">
        <w:rPr>
          <w:rFonts w:asciiTheme="minorHAnsi" w:hAnsiTheme="minorHAnsi" w:cstheme="minorHAnsi"/>
          <w:sz w:val="24"/>
          <w:szCs w:val="24"/>
        </w:rPr>
        <w:t xml:space="preserve">scope. </w:t>
      </w:r>
    </w:p>
    <w:p w:rsidR="00B1439D" w:rsidRDefault="00B1439D" w:rsidP="00FE05CF">
      <w:pPr>
        <w:rPr>
          <w:rFonts w:cstheme="minorHAnsi"/>
          <w:b/>
          <w:i/>
          <w:sz w:val="24"/>
          <w:szCs w:val="24"/>
        </w:rPr>
      </w:pPr>
    </w:p>
    <w:p w:rsidR="008E1C75" w:rsidRDefault="00FE05CF" w:rsidP="00FE05CF">
      <w:pPr>
        <w:rPr>
          <w:rFonts w:cstheme="minorHAnsi"/>
          <w:sz w:val="24"/>
          <w:szCs w:val="24"/>
        </w:rPr>
      </w:pPr>
      <w:r w:rsidRPr="00B1439D">
        <w:rPr>
          <w:rFonts w:cstheme="minorHAnsi"/>
          <w:b/>
          <w:i/>
          <w:sz w:val="24"/>
          <w:szCs w:val="24"/>
        </w:rPr>
        <w:t>‘Substance’</w:t>
      </w:r>
      <w:r w:rsidRPr="00B1439D">
        <w:rPr>
          <w:rFonts w:cstheme="minorHAnsi"/>
          <w:sz w:val="24"/>
          <w:szCs w:val="24"/>
        </w:rPr>
        <w:t xml:space="preserve"> refers to the content of a right. </w:t>
      </w:r>
      <w:r w:rsidR="008E1C75">
        <w:rPr>
          <w:rFonts w:cstheme="minorHAnsi"/>
          <w:sz w:val="24"/>
          <w:szCs w:val="24"/>
        </w:rPr>
        <w:t>H</w:t>
      </w:r>
      <w:r w:rsidRPr="00B1439D">
        <w:rPr>
          <w:rFonts w:cstheme="minorHAnsi"/>
          <w:sz w:val="24"/>
          <w:szCs w:val="24"/>
        </w:rPr>
        <w:t>ybrid rights are interdependent on other subject areas that fall outside of the human rights matr</w:t>
      </w:r>
      <w:r w:rsidR="008E1C75">
        <w:rPr>
          <w:rFonts w:cstheme="minorHAnsi"/>
          <w:sz w:val="24"/>
          <w:szCs w:val="24"/>
        </w:rPr>
        <w:t>ix. One example is t</w:t>
      </w:r>
      <w:r w:rsidRPr="00B1439D">
        <w:rPr>
          <w:rFonts w:cstheme="minorHAnsi"/>
          <w:sz w:val="24"/>
          <w:szCs w:val="24"/>
        </w:rPr>
        <w:t>he right to a clean and healthy environment</w:t>
      </w:r>
      <w:r w:rsidR="008E1C75">
        <w:rPr>
          <w:rFonts w:cstheme="minorHAnsi"/>
          <w:sz w:val="24"/>
          <w:szCs w:val="24"/>
        </w:rPr>
        <w:t xml:space="preserve">. That right </w:t>
      </w:r>
      <w:r w:rsidRPr="00B1439D">
        <w:rPr>
          <w:rFonts w:cstheme="minorHAnsi"/>
          <w:sz w:val="24"/>
          <w:szCs w:val="24"/>
        </w:rPr>
        <w:t>is not included in the core human rights treaties but is enunciated in: the Additional Protocol to the American Convention on Human Rights in the Area of Economic, Social and Cultural Rights;</w:t>
      </w:r>
      <w:r w:rsidRPr="00B1439D">
        <w:rPr>
          <w:rStyle w:val="FootnoteReference"/>
          <w:rFonts w:cstheme="minorHAnsi"/>
          <w:sz w:val="24"/>
          <w:szCs w:val="24"/>
        </w:rPr>
        <w:footnoteReference w:id="51"/>
      </w:r>
      <w:r w:rsidRPr="00B1439D">
        <w:rPr>
          <w:rFonts w:cstheme="minorHAnsi"/>
          <w:sz w:val="24"/>
          <w:szCs w:val="24"/>
        </w:rPr>
        <w:t xml:space="preserve"> the African Charter on Human and Peoples' Rights;</w:t>
      </w:r>
      <w:r w:rsidRPr="00B1439D">
        <w:rPr>
          <w:rStyle w:val="FootnoteReference"/>
          <w:rFonts w:cstheme="minorHAnsi"/>
          <w:sz w:val="24"/>
          <w:szCs w:val="24"/>
        </w:rPr>
        <w:footnoteReference w:id="52"/>
      </w:r>
      <w:r w:rsidRPr="00B1439D">
        <w:rPr>
          <w:rFonts w:cstheme="minorHAnsi"/>
          <w:sz w:val="24"/>
          <w:szCs w:val="24"/>
        </w:rPr>
        <w:t xml:space="preserve"> the United Nations Declaration on the Rights of Indigenous Peoples;</w:t>
      </w:r>
      <w:r w:rsidRPr="00B1439D">
        <w:rPr>
          <w:rStyle w:val="FootnoteReference"/>
          <w:rFonts w:cstheme="minorHAnsi"/>
          <w:sz w:val="24"/>
          <w:szCs w:val="24"/>
        </w:rPr>
        <w:footnoteReference w:id="53"/>
      </w:r>
      <w:r w:rsidRPr="00B1439D">
        <w:rPr>
          <w:rFonts w:cstheme="minorHAnsi"/>
          <w:sz w:val="24"/>
          <w:szCs w:val="24"/>
        </w:rPr>
        <w:t xml:space="preserve"> and in ‘soft law’ including UN resolutions,</w:t>
      </w:r>
      <w:r w:rsidRPr="00B1439D">
        <w:rPr>
          <w:rStyle w:val="FootnoteReference"/>
          <w:rFonts w:cstheme="minorHAnsi"/>
          <w:sz w:val="24"/>
          <w:szCs w:val="24"/>
        </w:rPr>
        <w:footnoteReference w:id="54"/>
      </w:r>
      <w:r w:rsidRPr="00B1439D">
        <w:rPr>
          <w:rFonts w:cstheme="minorHAnsi"/>
          <w:sz w:val="24"/>
          <w:szCs w:val="24"/>
        </w:rPr>
        <w:t xml:space="preserve"> reports, and the creation of a Special Procedures mandate on the impact on human rights caused by dumping of toxic and illicit waste.</w:t>
      </w:r>
      <w:r w:rsidRPr="00B1439D">
        <w:rPr>
          <w:rStyle w:val="FootnoteReference"/>
          <w:rFonts w:cstheme="minorHAnsi"/>
          <w:sz w:val="24"/>
          <w:szCs w:val="24"/>
        </w:rPr>
        <w:footnoteReference w:id="55"/>
      </w:r>
      <w:r w:rsidRPr="00B1439D">
        <w:rPr>
          <w:rFonts w:cstheme="minorHAnsi"/>
          <w:sz w:val="24"/>
          <w:szCs w:val="24"/>
        </w:rPr>
        <w:t xml:space="preserve"> States from the Global South utilise the dominant human rights language and framework in order to bring the environment – a distinct subject area with its own institutions and mechanisms – into the human rights matrix. </w:t>
      </w:r>
    </w:p>
    <w:p w:rsidR="00FE05CF" w:rsidRPr="00B1439D" w:rsidRDefault="00FE05CF" w:rsidP="00FE05CF">
      <w:pPr>
        <w:rPr>
          <w:rFonts w:cstheme="minorHAnsi"/>
          <w:sz w:val="24"/>
          <w:szCs w:val="24"/>
        </w:rPr>
      </w:pPr>
      <w:r w:rsidRPr="00B1439D">
        <w:rPr>
          <w:rFonts w:cstheme="minorHAnsi"/>
          <w:sz w:val="24"/>
          <w:szCs w:val="24"/>
        </w:rPr>
        <w:lastRenderedPageBreak/>
        <w:t xml:space="preserve">Many hybrid rights are framed as human rights owing to their ‘impact on other human rights’; describing them in such a way ensures that the rights are viewed through a human rights prism. However, those </w:t>
      </w:r>
      <w:r w:rsidR="008E1C75">
        <w:rPr>
          <w:rFonts w:cstheme="minorHAnsi"/>
          <w:sz w:val="24"/>
          <w:szCs w:val="24"/>
        </w:rPr>
        <w:t>rights</w:t>
      </w:r>
      <w:r w:rsidRPr="00B1439D">
        <w:rPr>
          <w:rFonts w:cstheme="minorHAnsi"/>
          <w:sz w:val="24"/>
          <w:szCs w:val="24"/>
        </w:rPr>
        <w:t xml:space="preserve"> do not have a distinct or tangible substance that can be protected, nor do they have tangible victims whose ‘rights’ may be violated. The</w:t>
      </w:r>
      <w:r w:rsidR="008E1C75">
        <w:rPr>
          <w:rFonts w:cstheme="minorHAnsi"/>
          <w:sz w:val="24"/>
          <w:szCs w:val="24"/>
        </w:rPr>
        <w:t>y</w:t>
      </w:r>
      <w:r w:rsidRPr="00B1439D">
        <w:rPr>
          <w:rFonts w:cstheme="minorHAnsi"/>
          <w:sz w:val="24"/>
          <w:szCs w:val="24"/>
        </w:rPr>
        <w:t xml:space="preserve"> are immeasurable in terms of implementation. Yet, by framing the rights in this way they become part of the human rights discourse. States</w:t>
      </w:r>
      <w:r w:rsidR="008E1C75">
        <w:rPr>
          <w:rFonts w:cstheme="minorHAnsi"/>
          <w:sz w:val="24"/>
          <w:szCs w:val="24"/>
        </w:rPr>
        <w:t xml:space="preserve"> </w:t>
      </w:r>
      <w:r w:rsidRPr="00B1439D">
        <w:rPr>
          <w:rFonts w:cstheme="minorHAnsi"/>
          <w:sz w:val="24"/>
          <w:szCs w:val="24"/>
        </w:rPr>
        <w:t xml:space="preserve">have utilised the international </w:t>
      </w:r>
      <w:r w:rsidR="008E1C75">
        <w:rPr>
          <w:rFonts w:cstheme="minorHAnsi"/>
          <w:sz w:val="24"/>
          <w:szCs w:val="24"/>
        </w:rPr>
        <w:t xml:space="preserve">arena </w:t>
      </w:r>
      <w:r w:rsidRPr="00B1439D">
        <w:rPr>
          <w:rFonts w:cstheme="minorHAnsi"/>
          <w:sz w:val="24"/>
          <w:szCs w:val="24"/>
        </w:rPr>
        <w:t xml:space="preserve">to construct substantively hybrid rights that are informed by and also challenge the dominant ideology. </w:t>
      </w:r>
    </w:p>
    <w:p w:rsidR="00FE05CF" w:rsidRPr="00CD6659" w:rsidRDefault="00FE05CF" w:rsidP="00FE05CF">
      <w:pPr>
        <w:rPr>
          <w:rFonts w:cstheme="minorHAnsi"/>
          <w:sz w:val="24"/>
          <w:szCs w:val="24"/>
        </w:rPr>
      </w:pPr>
      <w:r w:rsidRPr="00CD6659">
        <w:rPr>
          <w:rFonts w:cstheme="minorHAnsi"/>
          <w:sz w:val="24"/>
          <w:szCs w:val="24"/>
        </w:rPr>
        <w:t xml:space="preserve">Another way in which </w:t>
      </w:r>
      <w:r w:rsidR="00C61FF5" w:rsidRPr="00CD6659">
        <w:rPr>
          <w:rFonts w:cstheme="minorHAnsi"/>
          <w:sz w:val="24"/>
          <w:szCs w:val="24"/>
        </w:rPr>
        <w:t xml:space="preserve">these rights </w:t>
      </w:r>
      <w:r w:rsidRPr="00CD6659">
        <w:rPr>
          <w:rFonts w:cstheme="minorHAnsi"/>
          <w:sz w:val="24"/>
          <w:szCs w:val="24"/>
        </w:rPr>
        <w:t xml:space="preserve">challenge the dominant ideology on the substance of rights is through their increased focus on responsibilities and duties rather than on rights. As with Civil and Political Rights and Economic, Social and Cultural Rights, the substance of </w:t>
      </w:r>
      <w:r w:rsidR="00116193" w:rsidRPr="00CD6659">
        <w:rPr>
          <w:rFonts w:cstheme="minorHAnsi"/>
          <w:sz w:val="24"/>
          <w:szCs w:val="24"/>
        </w:rPr>
        <w:t xml:space="preserve">post-colonial Collective rights </w:t>
      </w:r>
      <w:r w:rsidRPr="00CD6659">
        <w:rPr>
          <w:rFonts w:cstheme="minorHAnsi"/>
          <w:sz w:val="24"/>
          <w:szCs w:val="24"/>
        </w:rPr>
        <w:t xml:space="preserve">focuses on the rights themselves. The right to self-determination is framed in such a way as to focus </w:t>
      </w:r>
      <w:r w:rsidR="008E1C75">
        <w:rPr>
          <w:rFonts w:cstheme="minorHAnsi"/>
          <w:sz w:val="24"/>
          <w:szCs w:val="24"/>
        </w:rPr>
        <w:t xml:space="preserve">upon </w:t>
      </w:r>
      <w:r w:rsidRPr="00CD6659">
        <w:rPr>
          <w:rFonts w:cstheme="minorHAnsi"/>
          <w:sz w:val="24"/>
          <w:szCs w:val="24"/>
        </w:rPr>
        <w:t xml:space="preserve">the substance </w:t>
      </w:r>
      <w:r w:rsidR="008E1C75">
        <w:rPr>
          <w:rFonts w:cstheme="minorHAnsi"/>
          <w:sz w:val="24"/>
          <w:szCs w:val="24"/>
        </w:rPr>
        <w:t xml:space="preserve">of </w:t>
      </w:r>
      <w:r w:rsidRPr="00CD6659">
        <w:rPr>
          <w:rFonts w:cstheme="minorHAnsi"/>
          <w:sz w:val="24"/>
          <w:szCs w:val="24"/>
        </w:rPr>
        <w:t xml:space="preserve">the right: </w:t>
      </w:r>
    </w:p>
    <w:p w:rsidR="00FE05CF" w:rsidRPr="00CD6659" w:rsidRDefault="00FE05CF" w:rsidP="00FE05CF">
      <w:pPr>
        <w:ind w:left="720"/>
        <w:rPr>
          <w:rFonts w:cstheme="minorHAnsi"/>
          <w:sz w:val="24"/>
          <w:szCs w:val="24"/>
        </w:rPr>
      </w:pPr>
      <w:r w:rsidRPr="00CD6659">
        <w:rPr>
          <w:rFonts w:cstheme="minorHAnsi"/>
          <w:sz w:val="24"/>
          <w:szCs w:val="24"/>
        </w:rPr>
        <w:t>All peoples have the right to self-determination. By virtue of that right they freely determine their political status and freely pursue their economic, s</w:t>
      </w:r>
      <w:bookmarkStart w:id="17" w:name="_Ref353275755"/>
      <w:r w:rsidRPr="00CD6659">
        <w:rPr>
          <w:rFonts w:cstheme="minorHAnsi"/>
          <w:sz w:val="24"/>
          <w:szCs w:val="24"/>
        </w:rPr>
        <w:t>ocial and cultural development.</w:t>
      </w:r>
      <w:r w:rsidRPr="00CD6659">
        <w:rPr>
          <w:rStyle w:val="FootnoteReference"/>
          <w:rFonts w:cstheme="minorHAnsi"/>
          <w:sz w:val="24"/>
          <w:szCs w:val="24"/>
        </w:rPr>
        <w:footnoteReference w:id="56"/>
      </w:r>
      <w:bookmarkEnd w:id="17"/>
      <w:r w:rsidRPr="00CD6659">
        <w:rPr>
          <w:rFonts w:cstheme="minorHAnsi"/>
          <w:sz w:val="24"/>
          <w:szCs w:val="24"/>
        </w:rPr>
        <w:t xml:space="preserve"> </w:t>
      </w:r>
    </w:p>
    <w:p w:rsidR="008E1C75" w:rsidRDefault="00FE05CF" w:rsidP="00FE05CF">
      <w:pPr>
        <w:rPr>
          <w:rFonts w:cstheme="minorHAnsi"/>
          <w:sz w:val="24"/>
          <w:szCs w:val="24"/>
        </w:rPr>
      </w:pPr>
      <w:r w:rsidRPr="00CD6659">
        <w:rPr>
          <w:rFonts w:cstheme="minorHAnsi"/>
          <w:sz w:val="24"/>
          <w:szCs w:val="24"/>
        </w:rPr>
        <w:t xml:space="preserve">The substance of that right focuses on the ways in which the right may be realised. However, the substance of </w:t>
      </w:r>
      <w:r w:rsidR="00C61FF5" w:rsidRPr="00CD6659">
        <w:rPr>
          <w:rFonts w:cstheme="minorHAnsi"/>
          <w:sz w:val="24"/>
          <w:szCs w:val="24"/>
        </w:rPr>
        <w:t xml:space="preserve">hybrid rights </w:t>
      </w:r>
      <w:r w:rsidRPr="00CD6659">
        <w:rPr>
          <w:rFonts w:cstheme="minorHAnsi"/>
          <w:sz w:val="24"/>
          <w:szCs w:val="24"/>
        </w:rPr>
        <w:t xml:space="preserve">moves beyond focusing on granting individuals ‘freedom from’ state interference or even ‘freedom to’ make demands upon a state, both of which enable the substance of the right easily to be identified. Instead, </w:t>
      </w:r>
      <w:r w:rsidR="00C61FF5" w:rsidRPr="00CD6659">
        <w:rPr>
          <w:rFonts w:cstheme="minorHAnsi"/>
          <w:sz w:val="24"/>
          <w:szCs w:val="24"/>
        </w:rPr>
        <w:t xml:space="preserve">they </w:t>
      </w:r>
      <w:r w:rsidRPr="00CD6659">
        <w:rPr>
          <w:rFonts w:cstheme="minorHAnsi"/>
          <w:sz w:val="24"/>
          <w:szCs w:val="24"/>
        </w:rPr>
        <w:t xml:space="preserve">focus on responsibilities of states, making it more difficult to identify the tangible rights created by those obligations. </w:t>
      </w:r>
    </w:p>
    <w:p w:rsidR="00FE05CF" w:rsidRPr="00CD6659" w:rsidRDefault="00FE05CF" w:rsidP="00FE05CF">
      <w:pPr>
        <w:rPr>
          <w:rFonts w:cstheme="minorHAnsi"/>
          <w:b/>
          <w:sz w:val="24"/>
          <w:szCs w:val="24"/>
        </w:rPr>
      </w:pPr>
      <w:r w:rsidRPr="00CD6659">
        <w:rPr>
          <w:rFonts w:cstheme="minorHAnsi"/>
          <w:sz w:val="24"/>
          <w:szCs w:val="24"/>
        </w:rPr>
        <w:t>The right to a democratic and equitable international order demonstrates hybridity in the right’s substance. The resolution creating a Special Procedures mandate</w:t>
      </w:r>
      <w:r w:rsidRPr="00CD6659">
        <w:rPr>
          <w:rStyle w:val="FootnoteReference"/>
          <w:rFonts w:cstheme="minorHAnsi"/>
          <w:sz w:val="24"/>
          <w:szCs w:val="24"/>
        </w:rPr>
        <w:footnoteReference w:id="57"/>
      </w:r>
      <w:r w:rsidRPr="00CD6659">
        <w:rPr>
          <w:rFonts w:cstheme="minorHAnsi"/>
          <w:sz w:val="24"/>
          <w:szCs w:val="24"/>
        </w:rPr>
        <w:t xml:space="preserve"> on the right to a democratic and equitable international order sets out 16 substantive aspects of the right.</w:t>
      </w:r>
      <w:r w:rsidRPr="00CD6659">
        <w:rPr>
          <w:rStyle w:val="FootnoteReference"/>
          <w:rFonts w:cstheme="minorHAnsi"/>
          <w:sz w:val="24"/>
          <w:szCs w:val="24"/>
        </w:rPr>
        <w:footnoteReference w:id="58"/>
      </w:r>
      <w:r w:rsidRPr="00CD6659">
        <w:rPr>
          <w:rFonts w:cstheme="minorHAnsi"/>
          <w:sz w:val="24"/>
          <w:szCs w:val="24"/>
        </w:rPr>
        <w:t xml:space="preserve"> Some of the substantive aspects focus on the right while others focus on states’ responsibilities, including: ‘The shared responsibility of the nations of the world for managing worldwide economic and social issues’;</w:t>
      </w:r>
      <w:r w:rsidRPr="00CD6659">
        <w:rPr>
          <w:rStyle w:val="FootnoteReference"/>
          <w:rFonts w:cstheme="minorHAnsi"/>
          <w:sz w:val="24"/>
          <w:szCs w:val="24"/>
        </w:rPr>
        <w:footnoteReference w:id="59"/>
      </w:r>
      <w:r w:rsidRPr="00CD6659">
        <w:rPr>
          <w:rFonts w:cstheme="minorHAnsi"/>
          <w:sz w:val="24"/>
          <w:szCs w:val="24"/>
        </w:rPr>
        <w:t xml:space="preserve"> ‘The promotion and consolidation of transparent, democratic, just and accountable international institutions in all areas of cooperation’;</w:t>
      </w:r>
      <w:r w:rsidRPr="00CD6659">
        <w:rPr>
          <w:rStyle w:val="FootnoteReference"/>
          <w:rFonts w:cstheme="minorHAnsi"/>
          <w:sz w:val="24"/>
          <w:szCs w:val="24"/>
        </w:rPr>
        <w:footnoteReference w:id="60"/>
      </w:r>
      <w:r w:rsidRPr="00CD6659">
        <w:rPr>
          <w:rFonts w:cstheme="minorHAnsi"/>
          <w:sz w:val="24"/>
          <w:szCs w:val="24"/>
        </w:rPr>
        <w:t xml:space="preserve"> and ‘The promotion of equitable access to benefits from the international distribution of wealth through enhanced international cooperation, in particular in international economic, commercial and financial relations’.</w:t>
      </w:r>
      <w:r w:rsidRPr="00CD6659">
        <w:rPr>
          <w:rStyle w:val="FootnoteReference"/>
          <w:rFonts w:cstheme="minorHAnsi"/>
          <w:sz w:val="24"/>
          <w:szCs w:val="24"/>
        </w:rPr>
        <w:footnoteReference w:id="61"/>
      </w:r>
      <w:r w:rsidRPr="00CD6659">
        <w:rPr>
          <w:rFonts w:cstheme="minorHAnsi"/>
          <w:sz w:val="24"/>
          <w:szCs w:val="24"/>
        </w:rPr>
        <w:t xml:space="preserve"> Hybridity here occurs through the substantive focus oscillating between rights and responsibilities, resulting in a construct that incorporates the polarised, and sometimes competing, ideologies from the Global North and South.</w:t>
      </w:r>
      <w:r w:rsidRPr="00CD6659">
        <w:rPr>
          <w:rFonts w:cstheme="minorHAnsi"/>
          <w:b/>
          <w:sz w:val="24"/>
          <w:szCs w:val="24"/>
        </w:rPr>
        <w:t xml:space="preserve"> </w:t>
      </w:r>
    </w:p>
    <w:p w:rsidR="00FE05CF" w:rsidRPr="00CD6659" w:rsidRDefault="00FE05CF" w:rsidP="00FE05CF">
      <w:pPr>
        <w:rPr>
          <w:rFonts w:cstheme="minorHAnsi"/>
          <w:b/>
          <w:sz w:val="24"/>
          <w:szCs w:val="24"/>
        </w:rPr>
      </w:pPr>
      <w:r w:rsidRPr="00CD6659">
        <w:rPr>
          <w:rFonts w:cstheme="minorHAnsi"/>
          <w:sz w:val="24"/>
          <w:szCs w:val="24"/>
        </w:rPr>
        <w:lastRenderedPageBreak/>
        <w:t>The debate on ‘rights versus responsibilities’ can clearly be seen in the differences between the regional human rights systems. The African Charter on Human and Peoples Rights</w:t>
      </w:r>
      <w:r w:rsidRPr="00CD6659">
        <w:rPr>
          <w:rStyle w:val="FootnoteReference"/>
          <w:rFonts w:cstheme="minorHAnsi"/>
          <w:sz w:val="24"/>
          <w:szCs w:val="24"/>
        </w:rPr>
        <w:footnoteReference w:id="62"/>
      </w:r>
      <w:r w:rsidRPr="00CD6659">
        <w:rPr>
          <w:rFonts w:cstheme="minorHAnsi"/>
          <w:sz w:val="24"/>
          <w:szCs w:val="24"/>
        </w:rPr>
        <w:t xml:space="preserve"> was the first human rights treaty to set out responsibilities alongside rights.</w:t>
      </w:r>
      <w:r w:rsidRPr="00CD6659">
        <w:rPr>
          <w:rStyle w:val="FootnoteReference"/>
          <w:rFonts w:cstheme="minorHAnsi"/>
          <w:sz w:val="24"/>
          <w:szCs w:val="24"/>
        </w:rPr>
        <w:footnoteReference w:id="63"/>
      </w:r>
      <w:r w:rsidRPr="00CD6659">
        <w:rPr>
          <w:rFonts w:cstheme="minorHAnsi"/>
          <w:sz w:val="24"/>
          <w:szCs w:val="24"/>
        </w:rPr>
        <w:t xml:space="preserve"> That way of viewing human rights is rooted in Africa’s history and traditions and challenges the dominant, individual-focused ideology. The movement away from substantive focus on rights to the substantive focus on responsibilities shows the impact of hybridity and the construction of ideologies within the international Third Space. As states from the Global South have grown stronger, they have become more able to construct and promote a second wave of Third Generation Rights that better reflects hybrid norms and values that challenge the dominant ideology. </w:t>
      </w:r>
    </w:p>
    <w:p w:rsidR="00FE05CF" w:rsidRPr="00CD6659" w:rsidRDefault="00FE05CF" w:rsidP="00FE05CF">
      <w:pPr>
        <w:rPr>
          <w:rFonts w:cstheme="minorHAnsi"/>
          <w:sz w:val="24"/>
          <w:szCs w:val="24"/>
        </w:rPr>
      </w:pPr>
      <w:r w:rsidRPr="00CD6659">
        <w:rPr>
          <w:rFonts w:cstheme="minorHAnsi"/>
          <w:b/>
          <w:i/>
          <w:sz w:val="24"/>
          <w:szCs w:val="24"/>
        </w:rPr>
        <w:t>‘Subjects’</w:t>
      </w:r>
      <w:r w:rsidRPr="00CD6659">
        <w:rPr>
          <w:rFonts w:cstheme="minorHAnsi"/>
          <w:sz w:val="24"/>
          <w:szCs w:val="24"/>
        </w:rPr>
        <w:t xml:space="preserve"> refers to who is bound by the human rights and to whom those obligations are owed. Third Generation Rights have expanded the subject of human rights both in terms of who, or what, are the rights holders and in terms of who owes the obligations.</w:t>
      </w:r>
      <w:r w:rsidRPr="00CD6659">
        <w:rPr>
          <w:rFonts w:cstheme="minorHAnsi"/>
          <w:b/>
          <w:sz w:val="24"/>
          <w:szCs w:val="24"/>
        </w:rPr>
        <w:t xml:space="preserve"> </w:t>
      </w:r>
      <w:r w:rsidRPr="00CD6659">
        <w:rPr>
          <w:rFonts w:cstheme="minorHAnsi"/>
          <w:sz w:val="24"/>
          <w:szCs w:val="24"/>
        </w:rPr>
        <w:t>A main criticism of Third Generation Rights is that, unlike traditional rights, it is difficult to identify who would constitute a victim if one of those rights were to be violated. In many ways, the subjects of these newer rights are unclear, arguably owing to the focus being on responsibilities rather than rights. As such, Third Generation Rights have markedly expanded the subjects of rights.</w:t>
      </w:r>
    </w:p>
    <w:p w:rsidR="00BC70CD" w:rsidRDefault="00FE05CF" w:rsidP="00FE05CF">
      <w:pPr>
        <w:rPr>
          <w:rFonts w:cstheme="minorHAnsi"/>
          <w:sz w:val="24"/>
          <w:szCs w:val="24"/>
        </w:rPr>
      </w:pPr>
      <w:r w:rsidRPr="00CD6659">
        <w:rPr>
          <w:rFonts w:cstheme="minorHAnsi"/>
          <w:sz w:val="24"/>
          <w:szCs w:val="24"/>
        </w:rPr>
        <w:t xml:space="preserve">Third Generation Rights </w:t>
      </w:r>
      <w:r w:rsidR="00CD6659" w:rsidRPr="00CD6659">
        <w:rPr>
          <w:rFonts w:cstheme="minorHAnsi"/>
          <w:sz w:val="24"/>
          <w:szCs w:val="24"/>
        </w:rPr>
        <w:t xml:space="preserve">have </w:t>
      </w:r>
      <w:r w:rsidRPr="00CD6659">
        <w:rPr>
          <w:rFonts w:cstheme="minorHAnsi"/>
          <w:sz w:val="24"/>
          <w:szCs w:val="24"/>
        </w:rPr>
        <w:t>brought the idea of collective and peoples’ rights to the fore.</w:t>
      </w:r>
      <w:r w:rsidRPr="00CD6659">
        <w:rPr>
          <w:rStyle w:val="FootnoteReference"/>
          <w:rFonts w:cstheme="minorHAnsi"/>
          <w:sz w:val="24"/>
          <w:szCs w:val="24"/>
        </w:rPr>
        <w:footnoteReference w:id="64"/>
      </w:r>
      <w:r w:rsidRPr="00CD6659">
        <w:rPr>
          <w:rFonts w:cstheme="minorHAnsi"/>
          <w:sz w:val="24"/>
          <w:szCs w:val="24"/>
        </w:rPr>
        <w:t xml:space="preserve"> Whereas previously, almost all rights</w:t>
      </w:r>
      <w:r w:rsidRPr="00CD6659">
        <w:rPr>
          <w:rStyle w:val="FootnoteReference"/>
          <w:rFonts w:cstheme="minorHAnsi"/>
          <w:sz w:val="24"/>
          <w:szCs w:val="24"/>
        </w:rPr>
        <w:footnoteReference w:id="65"/>
      </w:r>
      <w:r w:rsidRPr="00CD6659">
        <w:rPr>
          <w:rFonts w:cstheme="minorHAnsi"/>
          <w:sz w:val="24"/>
          <w:szCs w:val="24"/>
        </w:rPr>
        <w:t xml:space="preserve"> focused on individuals,</w:t>
      </w:r>
      <w:r w:rsidRPr="00CD6659">
        <w:rPr>
          <w:rStyle w:val="FootnoteReference"/>
          <w:rFonts w:cstheme="minorHAnsi"/>
          <w:sz w:val="24"/>
          <w:szCs w:val="24"/>
        </w:rPr>
        <w:footnoteReference w:id="66"/>
      </w:r>
      <w:r w:rsidRPr="00CD6659">
        <w:rPr>
          <w:rFonts w:cstheme="minorHAnsi"/>
          <w:sz w:val="24"/>
          <w:szCs w:val="24"/>
        </w:rPr>
        <w:t xml:space="preserve"> Third Generation Rights promote the idea of collective or peoples’ rights. By focusing on rights such as to self-determination, permanent sovereignty over resources, and development, all of which may only be exercised by peoples, Third Generation Rights expanded who or what could be classed as rights holders. </w:t>
      </w:r>
      <w:r w:rsidR="00CD6659" w:rsidRPr="00CD6659">
        <w:rPr>
          <w:rFonts w:cstheme="minorHAnsi"/>
          <w:sz w:val="24"/>
          <w:szCs w:val="24"/>
        </w:rPr>
        <w:t xml:space="preserve">Hybrid rights take this idea </w:t>
      </w:r>
      <w:r w:rsidRPr="00CD6659">
        <w:rPr>
          <w:rFonts w:cstheme="minorHAnsi"/>
          <w:sz w:val="24"/>
          <w:szCs w:val="24"/>
        </w:rPr>
        <w:t xml:space="preserve">further, focusing on states as much as the people who collectively make up a nation or a country. </w:t>
      </w:r>
    </w:p>
    <w:p w:rsidR="00FE05CF" w:rsidRPr="00CD6659" w:rsidRDefault="00FE05CF" w:rsidP="00FE05CF">
      <w:pPr>
        <w:rPr>
          <w:rFonts w:cstheme="minorHAnsi"/>
          <w:sz w:val="24"/>
          <w:szCs w:val="24"/>
        </w:rPr>
      </w:pPr>
      <w:r w:rsidRPr="00CD6659">
        <w:rPr>
          <w:rFonts w:cstheme="minorHAnsi"/>
          <w:sz w:val="24"/>
          <w:szCs w:val="24"/>
        </w:rPr>
        <w:t>The right to international solidarity and the right to a democratic and equitable order are aimed as much at states as an entity – rather than a group of people – and even at groups of states, as they are at collectives or groups of individuals. The mandate on international solidarity, for example, requires the independent expert ‘to promote and consolidate international assistance to developing countries in their endeavours in development and the promotion of conditions that make the full realization of all human rights possible’.</w:t>
      </w:r>
      <w:r w:rsidRPr="00CD6659">
        <w:rPr>
          <w:rStyle w:val="FootnoteReference"/>
          <w:rFonts w:cstheme="minorHAnsi"/>
          <w:sz w:val="24"/>
          <w:szCs w:val="24"/>
        </w:rPr>
        <w:footnoteReference w:id="67"/>
      </w:r>
      <w:r w:rsidRPr="00CD6659">
        <w:rPr>
          <w:rFonts w:cstheme="minorHAnsi"/>
          <w:sz w:val="24"/>
          <w:szCs w:val="24"/>
        </w:rPr>
        <w:t xml:space="preserve"> Although that responsibility discusses the individual as the right-holder, it is only in relation to secondary rights rather than to the right of international solidarity. It appears that states are the primary rights-holders and that the realisation of the right to international solidarity </w:t>
      </w:r>
      <w:r w:rsidRPr="00CD6659">
        <w:rPr>
          <w:rFonts w:cstheme="minorHAnsi"/>
          <w:sz w:val="24"/>
          <w:szCs w:val="24"/>
        </w:rPr>
        <w:lastRenderedPageBreak/>
        <w:t xml:space="preserve">will enable those rights-holders – the states – to implement all human rights for individuals under their control. This extends the subjects of rights beyond individuals as rights-holders, bringing states under the umbrella of the subjects to whom obligations are owed. </w:t>
      </w:r>
    </w:p>
    <w:p w:rsidR="00FE05CF" w:rsidRPr="00CD6659" w:rsidRDefault="00FE05CF" w:rsidP="00FE05CF">
      <w:pPr>
        <w:rPr>
          <w:rFonts w:cstheme="minorHAnsi"/>
          <w:sz w:val="24"/>
          <w:szCs w:val="24"/>
        </w:rPr>
      </w:pPr>
      <w:r w:rsidRPr="00CD6659">
        <w:rPr>
          <w:rFonts w:cstheme="minorHAnsi"/>
          <w:sz w:val="24"/>
          <w:szCs w:val="24"/>
        </w:rPr>
        <w:t>Expanding the subjects of rights from individuals to peoples and then to states themselves is a radical challenge to the dominant ideology. This is particularly true regarding Western notions of human rights, which focus solely on individuals and where some scholars and states at times still resist the framing of certain rights as ‘people’s rights’. Intertwining states and individuals as subjects and rights-holders demonstrates hybridity – the construction of a new human rights ideology based upon, but that also challenges, the dominant ideology whilst simultaneously incorporating norms and values of states from the Global South.</w:t>
      </w:r>
    </w:p>
    <w:p w:rsidR="00FE05CF" w:rsidRPr="00CD6659" w:rsidRDefault="00FE05CF" w:rsidP="00FE05CF">
      <w:pPr>
        <w:rPr>
          <w:sz w:val="24"/>
          <w:szCs w:val="24"/>
        </w:rPr>
      </w:pPr>
      <w:r w:rsidRPr="00CD6659">
        <w:rPr>
          <w:rFonts w:cstheme="minorHAnsi"/>
          <w:sz w:val="24"/>
          <w:szCs w:val="24"/>
        </w:rPr>
        <w:t xml:space="preserve">The second challenge that </w:t>
      </w:r>
      <w:r w:rsidR="0069437C">
        <w:rPr>
          <w:rFonts w:cstheme="minorHAnsi"/>
          <w:sz w:val="24"/>
          <w:szCs w:val="24"/>
        </w:rPr>
        <w:t xml:space="preserve">hybrid rights </w:t>
      </w:r>
      <w:r w:rsidRPr="00CD6659">
        <w:rPr>
          <w:rFonts w:cstheme="minorHAnsi"/>
          <w:sz w:val="24"/>
          <w:szCs w:val="24"/>
        </w:rPr>
        <w:t xml:space="preserve">present to the dominant ideology’s notion of the subjects of human rights is who owes the obligations contained within the rights. The newer rights expand the traditional understandings of who is bound by obligations. Firstly, individuals and communities may be obligated to facilitate the rights of others. For example, </w:t>
      </w:r>
      <w:r w:rsidRPr="00CD6659">
        <w:rPr>
          <w:rFonts w:eastAsia="ヒラギノ角ゴ Pro W3"/>
          <w:color w:val="000000"/>
          <w:sz w:val="24"/>
          <w:szCs w:val="24"/>
          <w:lang w:val="en-US"/>
        </w:rPr>
        <w:t>the Declaration on the Right to Development says that ‘All human beings have a responsibility for development, individually and collectively’.</w:t>
      </w:r>
      <w:r w:rsidRPr="00CD6659">
        <w:rPr>
          <w:rFonts w:eastAsia="ヒラギノ角ゴ Pro W3"/>
          <w:color w:val="000000"/>
          <w:sz w:val="24"/>
          <w:szCs w:val="24"/>
          <w:vertAlign w:val="superscript"/>
          <w:lang w:val="en-US"/>
        </w:rPr>
        <w:footnoteReference w:id="68"/>
      </w:r>
      <w:r w:rsidRPr="00CD6659">
        <w:rPr>
          <w:sz w:val="24"/>
          <w:szCs w:val="24"/>
        </w:rPr>
        <w:t xml:space="preserve"> This is a radical shift away from individuals solely being rights-holders, and is rooted in African human rights ideologies.</w:t>
      </w:r>
      <w:r w:rsidRPr="00CD6659">
        <w:rPr>
          <w:rStyle w:val="FootnoteReference"/>
          <w:sz w:val="24"/>
          <w:szCs w:val="24"/>
        </w:rPr>
        <w:footnoteReference w:id="69"/>
      </w:r>
      <w:r w:rsidRPr="00CD6659">
        <w:rPr>
          <w:sz w:val="24"/>
          <w:szCs w:val="24"/>
        </w:rPr>
        <w:t xml:space="preserve"> </w:t>
      </w:r>
      <w:r w:rsidRPr="00CD6659">
        <w:rPr>
          <w:rFonts w:cstheme="minorHAnsi"/>
          <w:sz w:val="24"/>
          <w:szCs w:val="24"/>
        </w:rPr>
        <w:t>Secondly, states are made responsible for the behaviour of other states, which uses the traditional human rights framework by building upon foundations laid in the ICESCR</w:t>
      </w:r>
      <w:r w:rsidRPr="00CD6659">
        <w:rPr>
          <w:rStyle w:val="FootnoteReference"/>
          <w:rFonts w:cstheme="minorHAnsi"/>
          <w:sz w:val="24"/>
          <w:szCs w:val="24"/>
        </w:rPr>
        <w:footnoteReference w:id="70"/>
      </w:r>
      <w:r w:rsidRPr="00CD6659">
        <w:rPr>
          <w:rFonts w:cstheme="minorHAnsi"/>
          <w:sz w:val="24"/>
          <w:szCs w:val="24"/>
        </w:rPr>
        <w:t xml:space="preserve"> whereby parties to that treaty are responsible for ensuring the core minimum obligations within states that have exhausted their maximum available resources.</w:t>
      </w:r>
      <w:r w:rsidRPr="00CD6659">
        <w:rPr>
          <w:rStyle w:val="FootnoteReference"/>
          <w:rFonts w:cstheme="minorHAnsi"/>
          <w:sz w:val="24"/>
          <w:szCs w:val="24"/>
        </w:rPr>
        <w:footnoteReference w:id="71"/>
      </w:r>
      <w:r w:rsidRPr="00CD6659">
        <w:rPr>
          <w:rFonts w:cstheme="minorHAnsi"/>
          <w:sz w:val="24"/>
          <w:szCs w:val="24"/>
        </w:rPr>
        <w:t xml:space="preserve"> Although African and Asian states have demonstrated that this type of collective responsibility on states for human rights realisation within other states is part of their regional human rights ideology, the idea that states ought to be responsible for rights being realised within other states, as opposed to the narrower responsibility of violations being remedied, challenges the dominant, Western ideology on human rights. Thirdly, other actors may be bound by these obligations. Indeed, expansion of subjects is not just in relation to states and individuals. The right to international solidarity seeks to encourage ‘more international actors [. . .] to take initiatives towards international solidarity, and to practice it in international relations.’</w:t>
      </w:r>
      <w:bookmarkStart w:id="18" w:name="_Ref358919391"/>
      <w:r w:rsidRPr="00CD6659">
        <w:rPr>
          <w:rStyle w:val="FootnoteReference"/>
          <w:rFonts w:cstheme="minorHAnsi"/>
          <w:sz w:val="24"/>
          <w:szCs w:val="24"/>
        </w:rPr>
        <w:footnoteReference w:id="72"/>
      </w:r>
      <w:bookmarkEnd w:id="18"/>
      <w:r w:rsidRPr="00CD6659">
        <w:rPr>
          <w:rFonts w:cstheme="minorHAnsi"/>
          <w:sz w:val="24"/>
          <w:szCs w:val="24"/>
        </w:rPr>
        <w:t xml:space="preserve"> This broad objective may lead to a range of international actors being bound by obligations under this right, with the Independent Expert insisting on the need to focus on relationships between states and international actors.</w:t>
      </w:r>
      <w:r w:rsidRPr="00CD6659">
        <w:rPr>
          <w:rStyle w:val="FootnoteReference"/>
          <w:rFonts w:cstheme="minorHAnsi"/>
          <w:sz w:val="24"/>
          <w:szCs w:val="24"/>
        </w:rPr>
        <w:footnoteReference w:id="73"/>
      </w:r>
      <w:r w:rsidRPr="00CD6659">
        <w:rPr>
          <w:rFonts w:cstheme="minorHAnsi"/>
          <w:sz w:val="24"/>
          <w:szCs w:val="24"/>
        </w:rPr>
        <w:t xml:space="preserve">  Again, the international Third Space has been used to create a hybrid construct that expands the subjects of human rights in order to represent hybrid ideologies. </w:t>
      </w:r>
    </w:p>
    <w:p w:rsidR="00FE05CF" w:rsidRPr="00CD6659" w:rsidRDefault="00FE05CF" w:rsidP="00FE05CF">
      <w:pPr>
        <w:rPr>
          <w:rFonts w:cstheme="minorHAnsi"/>
          <w:sz w:val="24"/>
          <w:szCs w:val="24"/>
        </w:rPr>
      </w:pPr>
      <w:r w:rsidRPr="00CD6659">
        <w:rPr>
          <w:rFonts w:cstheme="minorHAnsi"/>
          <w:b/>
          <w:i/>
          <w:sz w:val="24"/>
          <w:szCs w:val="24"/>
        </w:rPr>
        <w:t>‘Scope’</w:t>
      </w:r>
      <w:r w:rsidRPr="00CD6659">
        <w:rPr>
          <w:rFonts w:cstheme="minorHAnsi"/>
          <w:sz w:val="24"/>
          <w:szCs w:val="24"/>
        </w:rPr>
        <w:t xml:space="preserve"> refers to where the rights apply and the area where a state is bound by the obligations contained within a right. Traditional rights place obligations upon states to </w:t>
      </w:r>
      <w:r w:rsidRPr="00CD6659">
        <w:rPr>
          <w:rFonts w:cstheme="minorHAnsi"/>
          <w:sz w:val="24"/>
          <w:szCs w:val="24"/>
        </w:rPr>
        <w:lastRenderedPageBreak/>
        <w:t>respect, protect and fulfil the right.</w:t>
      </w:r>
      <w:r w:rsidRPr="00CD6659">
        <w:rPr>
          <w:rStyle w:val="FootnoteReference"/>
          <w:rFonts w:cstheme="minorHAnsi"/>
          <w:sz w:val="24"/>
          <w:szCs w:val="24"/>
        </w:rPr>
        <w:footnoteReference w:id="74"/>
      </w:r>
      <w:r w:rsidRPr="00CD6659">
        <w:rPr>
          <w:rFonts w:cstheme="minorHAnsi"/>
          <w:sz w:val="24"/>
          <w:szCs w:val="24"/>
        </w:rPr>
        <w:t xml:space="preserve"> Generally, the scope of those rights exists within territory where a state exercises control, although there are some instances of extraterritorial applicability.</w:t>
      </w:r>
      <w:r w:rsidRPr="00CD6659">
        <w:rPr>
          <w:rStyle w:val="FootnoteReference"/>
          <w:rFonts w:cstheme="minorHAnsi"/>
          <w:sz w:val="24"/>
          <w:szCs w:val="24"/>
        </w:rPr>
        <w:footnoteReference w:id="75"/>
      </w:r>
      <w:r w:rsidRPr="00CD6659">
        <w:rPr>
          <w:rFonts w:cstheme="minorHAnsi"/>
          <w:sz w:val="24"/>
          <w:szCs w:val="24"/>
        </w:rPr>
        <w:t xml:space="preserve"> Third Generation Rights extend the scope of rights owing to their extension of the substance and subjects of rights. The right to international solidarity, for example, seeks to place responsibility on states for ensuring sufficient redistribution of wealth to enable other states to have sufficient resources for human rights to be realised within their territories. That scope goes beyond traditional territorial and extraterritorial application of human rights obligations. Instead, human rights become a collective responsibility of all states insofar as there is a global responsibility to ensure that all states are able to implement human rights. </w:t>
      </w:r>
    </w:p>
    <w:p w:rsidR="00FE05CF" w:rsidRPr="00CD6659" w:rsidRDefault="00FE05CF" w:rsidP="00FE05CF">
      <w:pPr>
        <w:contextualSpacing/>
        <w:rPr>
          <w:rFonts w:cstheme="minorHAnsi"/>
          <w:sz w:val="24"/>
          <w:szCs w:val="24"/>
        </w:rPr>
      </w:pPr>
      <w:r w:rsidRPr="00CD6659">
        <w:rPr>
          <w:rFonts w:cstheme="minorHAnsi"/>
          <w:sz w:val="24"/>
          <w:szCs w:val="24"/>
        </w:rPr>
        <w:t xml:space="preserve">Throughout his reports, the Independent Expert on the right to international solidarity sets out that it places a responsibility on states, for example saying: </w:t>
      </w:r>
    </w:p>
    <w:p w:rsidR="00FE05CF" w:rsidRPr="00CD6659" w:rsidRDefault="00FE05CF" w:rsidP="00FE05CF">
      <w:pPr>
        <w:ind w:left="360"/>
        <w:contextualSpacing/>
        <w:rPr>
          <w:rFonts w:cstheme="minorHAnsi"/>
          <w:sz w:val="24"/>
          <w:szCs w:val="24"/>
        </w:rPr>
      </w:pPr>
    </w:p>
    <w:p w:rsidR="00FE05CF" w:rsidRPr="00CD6659" w:rsidRDefault="00FE05CF" w:rsidP="00FE05CF">
      <w:pPr>
        <w:ind w:left="360"/>
        <w:contextualSpacing/>
        <w:rPr>
          <w:rFonts w:cstheme="minorHAnsi"/>
          <w:sz w:val="24"/>
          <w:szCs w:val="24"/>
        </w:rPr>
      </w:pPr>
      <w:r w:rsidRPr="00CD6659">
        <w:rPr>
          <w:rFonts w:cstheme="minorHAnsi"/>
          <w:sz w:val="24"/>
          <w:szCs w:val="24"/>
        </w:rPr>
        <w:t>‘International cooperation and solidarity are based on the concept of shared responsibility. The notion of common but differentiated responsibilities has potential value in the development of a right of peoples and individuals to solidarity.’</w:t>
      </w:r>
      <w:bookmarkStart w:id="19" w:name="_Ref354515321"/>
      <w:r w:rsidRPr="00CD6659">
        <w:rPr>
          <w:rStyle w:val="FootnoteReference"/>
          <w:rFonts w:cstheme="minorHAnsi"/>
          <w:sz w:val="24"/>
          <w:szCs w:val="24"/>
        </w:rPr>
        <w:footnoteReference w:id="76"/>
      </w:r>
      <w:bookmarkEnd w:id="19"/>
      <w:r w:rsidRPr="00CD6659">
        <w:rPr>
          <w:rFonts w:cstheme="minorHAnsi"/>
          <w:sz w:val="24"/>
          <w:szCs w:val="24"/>
        </w:rPr>
        <w:t xml:space="preserve"> </w:t>
      </w:r>
    </w:p>
    <w:p w:rsidR="00FE05CF" w:rsidRPr="00CD6659" w:rsidRDefault="00FE05CF" w:rsidP="00FE05CF">
      <w:pPr>
        <w:contextualSpacing/>
        <w:rPr>
          <w:rFonts w:cstheme="minorHAnsi"/>
          <w:sz w:val="24"/>
          <w:szCs w:val="24"/>
        </w:rPr>
      </w:pPr>
    </w:p>
    <w:p w:rsidR="00FE05CF" w:rsidRPr="00CD6659" w:rsidRDefault="00FE05CF" w:rsidP="00FE05CF">
      <w:pPr>
        <w:contextualSpacing/>
        <w:rPr>
          <w:rFonts w:cstheme="minorHAnsi"/>
          <w:sz w:val="24"/>
          <w:szCs w:val="24"/>
        </w:rPr>
      </w:pPr>
      <w:r w:rsidRPr="00CD6659">
        <w:rPr>
          <w:rFonts w:cstheme="minorHAnsi"/>
          <w:sz w:val="24"/>
          <w:szCs w:val="24"/>
        </w:rPr>
        <w:t>The concept of ‘shared responsibility’ for ensuring that rights are able to be realised within other countries’ jurisdiction results in the scope of human rights being extended beyond traditional understanding of where states owe their obligations. The ideology underpinning shared responsibility goes beyond the postcolonial idea that former imperial powers owe duties to former colonies, and instead is rooted in African ideologies on responsibilities for other states and in post-Marxist discourses on global inequalities. Indeed, drawing on what appears to be post-Marxist theories the Independent Expert emphasises that ‘the duty of solidarity [is] an imperative prerequisite of globalization.’</w:t>
      </w:r>
      <w:r w:rsidRPr="00CD6659">
        <w:rPr>
          <w:rStyle w:val="FootnoteReference"/>
          <w:rFonts w:cstheme="minorHAnsi"/>
          <w:sz w:val="24"/>
          <w:szCs w:val="24"/>
        </w:rPr>
        <w:footnoteReference w:id="77"/>
      </w:r>
      <w:r w:rsidRPr="00CD6659">
        <w:rPr>
          <w:rFonts w:cstheme="minorHAnsi"/>
          <w:sz w:val="24"/>
          <w:szCs w:val="24"/>
        </w:rPr>
        <w:t xml:space="preserve"> Bringing these hybrid ideologies into the human rights system using a human rights framework enables states from the Global South effectively to challenge the dominant understanding of the scope of human rights by requiring states to ensure the primary right beyond their own jurisdiction in order to enable realisation of all other human rights within other states’ territories. The collective responsibility that Third Generation Rights place on states results in the scope extending to the transnational and international levels. The responsibilities placed on states transcend national borders and are dependent on matters occurring at the transnational and international levels. </w:t>
      </w:r>
    </w:p>
    <w:p w:rsidR="00FE05CF" w:rsidRPr="00CD6659" w:rsidRDefault="00FE05CF" w:rsidP="00FE05CF">
      <w:pPr>
        <w:rPr>
          <w:rFonts w:cstheme="minorHAnsi"/>
          <w:b/>
          <w:sz w:val="24"/>
          <w:szCs w:val="24"/>
        </w:rPr>
      </w:pPr>
    </w:p>
    <w:p w:rsidR="00FE05CF" w:rsidRPr="008E1C75" w:rsidRDefault="008E1C75" w:rsidP="008E1C75">
      <w:pPr>
        <w:pStyle w:val="ListParagraph"/>
        <w:numPr>
          <w:ilvl w:val="0"/>
          <w:numId w:val="1"/>
        </w:numPr>
        <w:rPr>
          <w:b/>
          <w:sz w:val="24"/>
          <w:szCs w:val="24"/>
        </w:rPr>
      </w:pPr>
      <w:r>
        <w:rPr>
          <w:b/>
          <w:sz w:val="24"/>
          <w:szCs w:val="24"/>
        </w:rPr>
        <w:t>Concluding Observations</w:t>
      </w:r>
    </w:p>
    <w:p w:rsidR="008E1C75" w:rsidRPr="008E1C75" w:rsidRDefault="008E1C75" w:rsidP="008E1C75">
      <w:pPr>
        <w:rPr>
          <w:sz w:val="24"/>
          <w:szCs w:val="24"/>
        </w:rPr>
      </w:pPr>
      <w:r>
        <w:rPr>
          <w:sz w:val="24"/>
          <w:szCs w:val="24"/>
        </w:rPr>
        <w:t xml:space="preserve">Hybridity is a useful tool for understanding the latest evolutionary cycle of international human rights law. </w:t>
      </w:r>
      <w:r w:rsidR="006A5532">
        <w:rPr>
          <w:sz w:val="24"/>
          <w:szCs w:val="24"/>
        </w:rPr>
        <w:t xml:space="preserve">Whilst many in the Western world criticise the emergence of these new rights, arguing that they dilute the system, it is clear that they are becoming part of the </w:t>
      </w:r>
      <w:r w:rsidR="006A5532">
        <w:rPr>
          <w:sz w:val="24"/>
          <w:szCs w:val="24"/>
        </w:rPr>
        <w:lastRenderedPageBreak/>
        <w:t xml:space="preserve">human rights matrix. The lack of understanding of hybrid rights from a theoretical perspective results in practical developments taking place in an </w:t>
      </w:r>
      <w:r w:rsidR="006A5532">
        <w:rPr>
          <w:i/>
          <w:sz w:val="24"/>
          <w:szCs w:val="24"/>
        </w:rPr>
        <w:t xml:space="preserve">ad hoc </w:t>
      </w:r>
      <w:r w:rsidR="006A5532">
        <w:rPr>
          <w:sz w:val="24"/>
          <w:szCs w:val="24"/>
        </w:rPr>
        <w:t>manner. The three-part framework that I have developed provides a mechanism for exploring the ideologies and values underpinning these new rights, the ways in which they are being created and their impact on the human rights system. It is only through a systematic and thorough assessment of these rights</w:t>
      </w:r>
      <w:r w:rsidR="007B2F26">
        <w:rPr>
          <w:sz w:val="24"/>
          <w:szCs w:val="24"/>
        </w:rPr>
        <w:t>, using theoretical frameworks to underpin the exploration of practical developments,</w:t>
      </w:r>
      <w:r w:rsidR="006A5532">
        <w:rPr>
          <w:sz w:val="24"/>
          <w:szCs w:val="24"/>
        </w:rPr>
        <w:t xml:space="preserve"> that they will fully be understood. </w:t>
      </w:r>
      <w:bookmarkStart w:id="20" w:name="_GoBack"/>
      <w:bookmarkEnd w:id="20"/>
    </w:p>
    <w:sectPr w:rsidR="008E1C75" w:rsidRPr="008E1C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CB9" w:rsidRDefault="00DE0CB9" w:rsidP="007A1AD4">
      <w:pPr>
        <w:spacing w:after="0"/>
      </w:pPr>
      <w:r>
        <w:separator/>
      </w:r>
    </w:p>
  </w:endnote>
  <w:endnote w:type="continuationSeparator" w:id="0">
    <w:p w:rsidR="00DE0CB9" w:rsidRDefault="00DE0CB9" w:rsidP="007A1A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Three">
    <w:panose1 w:val="00000000000000000000"/>
    <w:charset w:val="00"/>
    <w:family w:val="roman"/>
    <w:notTrueType/>
    <w:pitch w:val="default"/>
    <w:sig w:usb0="00000003" w:usb1="00000000" w:usb2="00000000" w:usb3="00000000" w:csb0="00000001" w:csb1="00000000"/>
  </w:font>
  <w:font w:name="GaramondThree-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CB9" w:rsidRDefault="00DE0CB9" w:rsidP="007A1AD4">
      <w:pPr>
        <w:spacing w:after="0"/>
      </w:pPr>
      <w:r>
        <w:separator/>
      </w:r>
    </w:p>
  </w:footnote>
  <w:footnote w:type="continuationSeparator" w:id="0">
    <w:p w:rsidR="00DE0CB9" w:rsidRDefault="00DE0CB9" w:rsidP="007A1AD4">
      <w:pPr>
        <w:spacing w:after="0"/>
      </w:pPr>
      <w:r>
        <w:continuationSeparator/>
      </w:r>
    </w:p>
  </w:footnote>
  <w:footnote w:id="1">
    <w:p w:rsidR="00A07FBF" w:rsidRDefault="00A07FBF" w:rsidP="00A07FBF">
      <w:pPr>
        <w:pStyle w:val="FootnoteText"/>
        <w:spacing w:line="240" w:lineRule="auto"/>
      </w:pPr>
      <w:r>
        <w:rPr>
          <w:rStyle w:val="FootnoteReference"/>
        </w:rPr>
        <w:footnoteRef/>
      </w:r>
      <w:r>
        <w:t xml:space="preserve"> Some key passages and themes contained within this chap</w:t>
      </w:r>
      <w:r w:rsidR="00381383">
        <w:t xml:space="preserve">ter first appeared in print in </w:t>
      </w:r>
      <w:r>
        <w:t>Freedman,</w:t>
      </w:r>
      <w:r w:rsidR="00381383">
        <w:t xml:space="preserve"> R., (2014),</w:t>
      </w:r>
      <w:r>
        <w:t xml:space="preserve"> ‘</w:t>
      </w:r>
      <w:r w:rsidRPr="00A07FBF">
        <w:t xml:space="preserve">Third Generation’ Rights: Is there room for hybrid constructs within </w:t>
      </w:r>
      <w:r>
        <w:t>International Human Rights Law?</w:t>
      </w:r>
      <w:proofErr w:type="gramStart"/>
      <w:r>
        <w:t>’</w:t>
      </w:r>
      <w:r w:rsidRPr="00A07FBF">
        <w:t>,</w:t>
      </w:r>
      <w:proofErr w:type="gramEnd"/>
      <w:r w:rsidRPr="00A07FBF">
        <w:t xml:space="preserve"> </w:t>
      </w:r>
      <w:r w:rsidRPr="00A07FBF">
        <w:rPr>
          <w:i/>
        </w:rPr>
        <w:t>Cambridge Journal of International and Comparative Law</w:t>
      </w:r>
      <w:r w:rsidR="00381383">
        <w:rPr>
          <w:i/>
        </w:rPr>
        <w:t xml:space="preserve"> </w:t>
      </w:r>
      <w:r w:rsidR="00381383">
        <w:t>2(4)</w:t>
      </w:r>
      <w:r w:rsidR="00926170">
        <w:t xml:space="preserve">, </w:t>
      </w:r>
      <w:r w:rsidR="00381383">
        <w:t>pp.</w:t>
      </w:r>
      <w:r w:rsidR="00393FC0">
        <w:t xml:space="preserve"> 1-25</w:t>
      </w:r>
      <w:r w:rsidR="00926170">
        <w:t>.</w:t>
      </w:r>
      <w:r w:rsidRPr="00A07FBF">
        <w:t xml:space="preserve"> </w:t>
      </w:r>
      <w:r w:rsidR="007B2F26">
        <w:t>The author is grateful to the editors of that journal for granting permission for parts of that article to be reproduced in this chapter.</w:t>
      </w:r>
    </w:p>
  </w:footnote>
  <w:footnote w:id="2">
    <w:p w:rsidR="007A1AD4" w:rsidRPr="00CD6659" w:rsidRDefault="007A1AD4" w:rsidP="00A07FBF">
      <w:pPr>
        <w:pStyle w:val="FootnoteText"/>
        <w:spacing w:line="240" w:lineRule="auto"/>
        <w:rPr>
          <w:rFonts w:asciiTheme="minorHAnsi" w:hAnsiTheme="minorHAnsi"/>
          <w:b/>
        </w:rPr>
      </w:pPr>
      <w:r w:rsidRPr="00CD6659">
        <w:rPr>
          <w:rStyle w:val="FootnoteReference"/>
          <w:rFonts w:asciiTheme="minorHAnsi" w:hAnsiTheme="minorHAnsi"/>
        </w:rPr>
        <w:footnoteRef/>
      </w:r>
      <w:r w:rsidRPr="00CD6659">
        <w:rPr>
          <w:rFonts w:asciiTheme="minorHAnsi" w:hAnsiTheme="minorHAnsi"/>
        </w:rPr>
        <w:t xml:space="preserve"> As distinguished from individuals’ rights, cf. </w:t>
      </w:r>
      <w:r w:rsidRPr="00CD6659">
        <w:rPr>
          <w:rFonts w:asciiTheme="minorHAnsi" w:eastAsia="ヒラギノ角ゴ Pro W3" w:hAnsiTheme="minorHAnsi"/>
          <w:color w:val="000000"/>
        </w:rPr>
        <w:t>Weston,</w:t>
      </w:r>
      <w:r w:rsidR="00381383">
        <w:rPr>
          <w:rFonts w:asciiTheme="minorHAnsi" w:eastAsia="ヒラギノ角ゴ Pro W3" w:hAnsiTheme="minorHAnsi"/>
          <w:color w:val="000000"/>
        </w:rPr>
        <w:t xml:space="preserve"> </w:t>
      </w:r>
      <w:r w:rsidR="00381383" w:rsidRPr="00CD6659">
        <w:rPr>
          <w:rFonts w:asciiTheme="minorHAnsi" w:hAnsiTheme="minorHAnsi"/>
        </w:rPr>
        <w:t>B.H</w:t>
      </w:r>
      <w:r w:rsidR="00381383">
        <w:rPr>
          <w:rFonts w:asciiTheme="minorHAnsi" w:hAnsiTheme="minorHAnsi"/>
        </w:rPr>
        <w:t>., (1984),</w:t>
      </w:r>
      <w:r w:rsidRPr="00CD6659">
        <w:rPr>
          <w:rFonts w:asciiTheme="minorHAnsi" w:eastAsia="ヒラギノ角ゴ Pro W3" w:hAnsiTheme="minorHAnsi"/>
          <w:color w:val="000000"/>
        </w:rPr>
        <w:t xml:space="preserve"> ‘Human Rights’</w:t>
      </w:r>
      <w:r w:rsidR="00381383">
        <w:rPr>
          <w:rFonts w:asciiTheme="minorHAnsi" w:eastAsia="ヒラギノ角ゴ Pro W3" w:hAnsiTheme="minorHAnsi"/>
          <w:color w:val="000000"/>
        </w:rPr>
        <w:t xml:space="preserve">, </w:t>
      </w:r>
      <w:r w:rsidRPr="00CD6659">
        <w:rPr>
          <w:rFonts w:asciiTheme="minorHAnsi" w:eastAsia="ヒラギノ角ゴ Pro W3" w:hAnsiTheme="minorHAnsi"/>
          <w:i/>
          <w:color w:val="000000"/>
        </w:rPr>
        <w:t>Human Rights Quarterly</w:t>
      </w:r>
      <w:r w:rsidRPr="00CD6659">
        <w:rPr>
          <w:rFonts w:asciiTheme="minorHAnsi" w:eastAsia="ヒラギノ角ゴ Pro W3" w:hAnsiTheme="minorHAnsi"/>
          <w:color w:val="000000"/>
        </w:rPr>
        <w:t xml:space="preserve"> 6(</w:t>
      </w:r>
      <w:r w:rsidRPr="00CD6659">
        <w:rPr>
          <w:rFonts w:asciiTheme="minorHAnsi" w:eastAsia="ヒラギノ角ゴ Pro W3" w:hAnsiTheme="minorHAnsi"/>
          <w:color w:val="000000"/>
          <w:lang w:val="en-US"/>
        </w:rPr>
        <w:t xml:space="preserve">3), </w:t>
      </w:r>
      <w:r w:rsidR="00381383">
        <w:rPr>
          <w:rFonts w:asciiTheme="minorHAnsi" w:eastAsia="ヒラギノ角ゴ Pro W3" w:hAnsiTheme="minorHAnsi"/>
          <w:color w:val="000000"/>
          <w:lang w:val="en-US"/>
        </w:rPr>
        <w:t xml:space="preserve">pp. </w:t>
      </w:r>
      <w:r w:rsidRPr="00CD6659">
        <w:rPr>
          <w:rFonts w:asciiTheme="minorHAnsi" w:eastAsia="ヒラギノ角ゴ Pro W3" w:hAnsiTheme="minorHAnsi"/>
          <w:color w:val="000000"/>
          <w:lang w:val="en-US"/>
        </w:rPr>
        <w:t>257-283.</w:t>
      </w:r>
    </w:p>
  </w:footnote>
  <w:footnote w:id="3">
    <w:p w:rsidR="00115CB3" w:rsidRPr="00CD6659" w:rsidRDefault="00115CB3" w:rsidP="00A07FBF">
      <w:pPr>
        <w:pStyle w:val="FootnoteText"/>
        <w:spacing w:line="240" w:lineRule="auto"/>
        <w:jc w:val="left"/>
        <w:rPr>
          <w:rFonts w:asciiTheme="minorHAnsi" w:hAnsiTheme="minorHAnsi"/>
        </w:rPr>
      </w:pPr>
      <w:r w:rsidRPr="00DE6258">
        <w:rPr>
          <w:rStyle w:val="FootnoteReference"/>
          <w:rFonts w:asciiTheme="minorHAnsi" w:hAnsiTheme="minorHAnsi"/>
        </w:rPr>
        <w:footnoteRef/>
      </w:r>
      <w:r w:rsidRPr="00DE6258">
        <w:rPr>
          <w:rFonts w:asciiTheme="minorHAnsi" w:hAnsiTheme="minorHAnsi"/>
        </w:rPr>
        <w:t xml:space="preserve"> </w:t>
      </w:r>
      <w:proofErr w:type="spellStart"/>
      <w:r w:rsidRPr="00DE6258">
        <w:rPr>
          <w:rFonts w:asciiTheme="minorHAnsi" w:hAnsiTheme="minorHAnsi"/>
        </w:rPr>
        <w:t>Bhabha</w:t>
      </w:r>
      <w:proofErr w:type="spellEnd"/>
      <w:r w:rsidRPr="00DE6258">
        <w:rPr>
          <w:rFonts w:asciiTheme="minorHAnsi" w:hAnsiTheme="minorHAnsi"/>
        </w:rPr>
        <w:t>,</w:t>
      </w:r>
      <w:r w:rsidR="00065C95">
        <w:rPr>
          <w:rFonts w:asciiTheme="minorHAnsi" w:hAnsiTheme="minorHAnsi"/>
        </w:rPr>
        <w:t xml:space="preserve"> H.K.,</w:t>
      </w:r>
      <w:r w:rsidR="00DE6258" w:rsidRPr="00DE6258">
        <w:rPr>
          <w:rFonts w:asciiTheme="minorHAnsi" w:hAnsiTheme="minorHAnsi"/>
        </w:rPr>
        <w:t xml:space="preserve"> </w:t>
      </w:r>
      <w:r w:rsidR="00065C95">
        <w:rPr>
          <w:rFonts w:asciiTheme="minorHAnsi" w:hAnsiTheme="minorHAnsi"/>
        </w:rPr>
        <w:t xml:space="preserve">(1994), </w:t>
      </w:r>
      <w:r w:rsidR="00DE6258" w:rsidRPr="00DE6258">
        <w:rPr>
          <w:rFonts w:asciiTheme="minorHAnsi" w:hAnsiTheme="minorHAnsi"/>
          <w:i/>
        </w:rPr>
        <w:t>The Location of Culture</w:t>
      </w:r>
      <w:r w:rsidR="00DE6258" w:rsidRPr="00DE6258">
        <w:rPr>
          <w:rFonts w:asciiTheme="minorHAnsi" w:hAnsiTheme="minorHAnsi"/>
        </w:rPr>
        <w:t xml:space="preserve">, </w:t>
      </w:r>
      <w:r w:rsidR="00065C95">
        <w:rPr>
          <w:rFonts w:asciiTheme="minorHAnsi" w:hAnsiTheme="minorHAnsi"/>
        </w:rPr>
        <w:t>Abingdon, UK and New York, US: Routledge, p.</w:t>
      </w:r>
      <w:r w:rsidR="00DE6258" w:rsidRPr="00DE6258">
        <w:rPr>
          <w:rFonts w:asciiTheme="minorHAnsi" w:hAnsiTheme="minorHAnsi"/>
        </w:rPr>
        <w:t>123</w:t>
      </w:r>
      <w:r w:rsidRPr="00DE6258">
        <w:rPr>
          <w:rFonts w:asciiTheme="minorHAnsi" w:hAnsiTheme="minorHAnsi"/>
        </w:rPr>
        <w:t xml:space="preserve">; </w:t>
      </w:r>
      <w:r w:rsidR="00065C95">
        <w:rPr>
          <w:rFonts w:asciiTheme="minorHAnsi" w:hAnsiTheme="minorHAnsi"/>
        </w:rPr>
        <w:t xml:space="preserve">and </w:t>
      </w:r>
      <w:r w:rsidRPr="00DE6258">
        <w:rPr>
          <w:rFonts w:asciiTheme="minorHAnsi" w:hAnsiTheme="minorHAnsi"/>
        </w:rPr>
        <w:t>Young,</w:t>
      </w:r>
      <w:r w:rsidR="00065C95">
        <w:rPr>
          <w:rFonts w:asciiTheme="minorHAnsi" w:hAnsiTheme="minorHAnsi"/>
        </w:rPr>
        <w:t xml:space="preserve"> R.C., (1995), </w:t>
      </w:r>
      <w:r w:rsidRPr="00DE6258">
        <w:rPr>
          <w:rFonts w:asciiTheme="minorHAnsi" w:hAnsiTheme="minorHAnsi"/>
          <w:i/>
        </w:rPr>
        <w:t>Colonial Desire: Hybridity in Theory, Culture and Race</w:t>
      </w:r>
      <w:r w:rsidRPr="00DE6258">
        <w:rPr>
          <w:rFonts w:asciiTheme="minorHAnsi" w:hAnsiTheme="minorHAnsi"/>
        </w:rPr>
        <w:t xml:space="preserve">, </w:t>
      </w:r>
      <w:r w:rsidR="00065C95">
        <w:rPr>
          <w:rFonts w:asciiTheme="minorHAnsi" w:hAnsiTheme="minorHAnsi"/>
        </w:rPr>
        <w:t>Abingdon, UK and New York,</w:t>
      </w:r>
      <w:r w:rsidR="00065C95">
        <w:rPr>
          <w:rFonts w:asciiTheme="minorHAnsi" w:hAnsiTheme="minorHAnsi"/>
        </w:rPr>
        <w:t xml:space="preserve"> US: Routledge</w:t>
      </w:r>
      <w:r w:rsidRPr="00DE6258">
        <w:rPr>
          <w:rFonts w:asciiTheme="minorHAnsi" w:hAnsiTheme="minorHAnsi"/>
        </w:rPr>
        <w:t xml:space="preserve">, </w:t>
      </w:r>
      <w:r w:rsidR="00065C95">
        <w:rPr>
          <w:rFonts w:asciiTheme="minorHAnsi" w:hAnsiTheme="minorHAnsi"/>
        </w:rPr>
        <w:t xml:space="preserve">p. </w:t>
      </w:r>
      <w:r w:rsidRPr="00DE6258">
        <w:rPr>
          <w:rFonts w:asciiTheme="minorHAnsi" w:hAnsiTheme="minorHAnsi"/>
        </w:rPr>
        <w:t>37.</w:t>
      </w:r>
      <w:r w:rsidR="00FC5210">
        <w:rPr>
          <w:rFonts w:asciiTheme="minorHAnsi" w:hAnsiTheme="minorHAnsi"/>
        </w:rPr>
        <w:t>S</w:t>
      </w:r>
    </w:p>
  </w:footnote>
  <w:footnote w:id="4">
    <w:p w:rsidR="00115CB3" w:rsidRPr="00CD6659" w:rsidRDefault="00115CB3" w:rsidP="00A07FBF">
      <w:pPr>
        <w:pStyle w:val="FootnoteText"/>
        <w:spacing w:line="240" w:lineRule="auto"/>
        <w:rPr>
          <w:rFonts w:asciiTheme="minorHAnsi" w:hAnsiTheme="minorHAnsi"/>
        </w:rPr>
      </w:pPr>
      <w:r w:rsidRPr="00CD6659">
        <w:rPr>
          <w:rStyle w:val="FootnoteReference"/>
          <w:rFonts w:asciiTheme="minorHAnsi" w:hAnsiTheme="minorHAnsi"/>
        </w:rPr>
        <w:footnoteRef/>
      </w:r>
      <w:r w:rsidRPr="00CD6659">
        <w:rPr>
          <w:rFonts w:asciiTheme="minorHAnsi" w:hAnsiTheme="minorHAnsi"/>
        </w:rPr>
        <w:t xml:space="preserve"> </w:t>
      </w:r>
      <w:r w:rsidRPr="00E82F20">
        <w:rPr>
          <w:rStyle w:val="Strong"/>
          <w:rFonts w:asciiTheme="minorHAnsi" w:hAnsiTheme="minorHAnsi"/>
          <w:b w:val="0"/>
        </w:rPr>
        <w:t xml:space="preserve">Ashcroft, </w:t>
      </w:r>
      <w:r w:rsidR="00922B6C">
        <w:rPr>
          <w:rStyle w:val="Strong"/>
          <w:rFonts w:asciiTheme="minorHAnsi" w:hAnsiTheme="minorHAnsi"/>
          <w:b w:val="0"/>
        </w:rPr>
        <w:t xml:space="preserve">B., </w:t>
      </w:r>
      <w:r w:rsidRPr="00E82F20">
        <w:rPr>
          <w:rStyle w:val="Strong"/>
          <w:rFonts w:asciiTheme="minorHAnsi" w:hAnsiTheme="minorHAnsi"/>
          <w:b w:val="0"/>
        </w:rPr>
        <w:t xml:space="preserve">G. Griffiths &amp; H. Tiffin, </w:t>
      </w:r>
      <w:r w:rsidR="00922B6C">
        <w:rPr>
          <w:rStyle w:val="Strong"/>
          <w:rFonts w:asciiTheme="minorHAnsi" w:hAnsiTheme="minorHAnsi"/>
          <w:b w:val="0"/>
        </w:rPr>
        <w:t xml:space="preserve">(2000), </w:t>
      </w:r>
      <w:r w:rsidRPr="00E82F20">
        <w:rPr>
          <w:rStyle w:val="Strong"/>
          <w:rFonts w:asciiTheme="minorHAnsi" w:hAnsiTheme="minorHAnsi"/>
          <w:b w:val="0"/>
          <w:i/>
        </w:rPr>
        <w:t>Post-Colonial Studies: The Key Concepts</w:t>
      </w:r>
      <w:r w:rsidRPr="00E82F20">
        <w:rPr>
          <w:rStyle w:val="Strong"/>
          <w:rFonts w:asciiTheme="minorHAnsi" w:hAnsiTheme="minorHAnsi"/>
          <w:b w:val="0"/>
        </w:rPr>
        <w:t xml:space="preserve">, </w:t>
      </w:r>
      <w:r w:rsidR="00922B6C">
        <w:rPr>
          <w:rFonts w:asciiTheme="minorHAnsi" w:hAnsiTheme="minorHAnsi"/>
        </w:rPr>
        <w:t xml:space="preserve">Abingdon, UK and New York, US: Routledge, </w:t>
      </w:r>
      <w:r w:rsidR="00922B6C">
        <w:rPr>
          <w:rStyle w:val="Strong"/>
          <w:rFonts w:asciiTheme="minorHAnsi" w:hAnsiTheme="minorHAnsi"/>
          <w:b w:val="0"/>
        </w:rPr>
        <w:t xml:space="preserve">p. </w:t>
      </w:r>
      <w:r w:rsidRPr="00CD6659">
        <w:rPr>
          <w:rFonts w:asciiTheme="minorHAnsi" w:hAnsiTheme="minorHAnsi"/>
        </w:rPr>
        <w:t>118.</w:t>
      </w:r>
    </w:p>
  </w:footnote>
  <w:footnote w:id="5">
    <w:p w:rsidR="00115CB3" w:rsidRPr="00CD6659" w:rsidRDefault="00115CB3" w:rsidP="00A07FBF">
      <w:pPr>
        <w:pStyle w:val="FootnoteText"/>
        <w:spacing w:line="240" w:lineRule="auto"/>
        <w:rPr>
          <w:rFonts w:asciiTheme="minorHAnsi" w:hAnsiTheme="minorHAnsi"/>
        </w:rPr>
      </w:pPr>
      <w:r w:rsidRPr="00CD6659">
        <w:rPr>
          <w:rStyle w:val="FootnoteReference"/>
          <w:rFonts w:asciiTheme="minorHAnsi" w:hAnsiTheme="minorHAnsi"/>
        </w:rPr>
        <w:footnoteRef/>
      </w:r>
      <w:r w:rsidRPr="00CD6659">
        <w:rPr>
          <w:rFonts w:asciiTheme="minorHAnsi" w:hAnsiTheme="minorHAnsi"/>
        </w:rPr>
        <w:t xml:space="preserve"> </w:t>
      </w:r>
      <w:proofErr w:type="spellStart"/>
      <w:r w:rsidRPr="00CD6659">
        <w:rPr>
          <w:rFonts w:asciiTheme="minorHAnsi" w:hAnsiTheme="minorHAnsi"/>
        </w:rPr>
        <w:t>Kuroti</w:t>
      </w:r>
      <w:proofErr w:type="spellEnd"/>
      <w:r w:rsidR="00922B6C">
        <w:rPr>
          <w:rFonts w:asciiTheme="minorHAnsi" w:hAnsiTheme="minorHAnsi"/>
        </w:rPr>
        <w:t>, J.</w:t>
      </w:r>
      <w:r w:rsidRPr="00CD6659">
        <w:rPr>
          <w:rFonts w:asciiTheme="minorHAnsi" w:hAnsiTheme="minorHAnsi"/>
        </w:rPr>
        <w:t xml:space="preserve"> &amp; J. Nyman, </w:t>
      </w:r>
      <w:r w:rsidR="00922B6C">
        <w:rPr>
          <w:rFonts w:asciiTheme="minorHAnsi" w:hAnsiTheme="minorHAnsi"/>
        </w:rPr>
        <w:t xml:space="preserve">(2007) </w:t>
      </w:r>
      <w:r w:rsidRPr="00CD6659">
        <w:rPr>
          <w:rStyle w:val="addmd"/>
          <w:rFonts w:asciiTheme="minorHAnsi" w:hAnsiTheme="minorHAnsi"/>
        </w:rPr>
        <w:t xml:space="preserve">‘Introduction: Hybridity Today’, J. </w:t>
      </w:r>
      <w:proofErr w:type="spellStart"/>
      <w:r w:rsidRPr="00CD6659">
        <w:rPr>
          <w:rStyle w:val="addmd"/>
          <w:rFonts w:asciiTheme="minorHAnsi" w:hAnsiTheme="minorHAnsi"/>
        </w:rPr>
        <w:t>Kuortti</w:t>
      </w:r>
      <w:proofErr w:type="spellEnd"/>
      <w:r w:rsidR="00922B6C">
        <w:rPr>
          <w:rStyle w:val="addmd"/>
          <w:rFonts w:asciiTheme="minorHAnsi" w:hAnsiTheme="minorHAnsi"/>
        </w:rPr>
        <w:t>, J.</w:t>
      </w:r>
      <w:r w:rsidRPr="00CD6659">
        <w:rPr>
          <w:rStyle w:val="addmd"/>
          <w:rFonts w:asciiTheme="minorHAnsi" w:hAnsiTheme="minorHAnsi"/>
        </w:rPr>
        <w:t xml:space="preserve"> &amp; J. Nyman</w:t>
      </w:r>
      <w:r w:rsidR="00922B6C">
        <w:rPr>
          <w:rStyle w:val="addmd"/>
          <w:rFonts w:asciiTheme="minorHAnsi" w:hAnsiTheme="minorHAnsi"/>
        </w:rPr>
        <w:t xml:space="preserve"> (</w:t>
      </w:r>
      <w:proofErr w:type="spellStart"/>
      <w:proofErr w:type="gramStart"/>
      <w:r w:rsidR="00922B6C">
        <w:rPr>
          <w:rStyle w:val="addmd"/>
          <w:rFonts w:asciiTheme="minorHAnsi" w:hAnsiTheme="minorHAnsi"/>
        </w:rPr>
        <w:t>eds</w:t>
      </w:r>
      <w:proofErr w:type="spellEnd"/>
      <w:proofErr w:type="gramEnd"/>
      <w:r w:rsidRPr="00CD6659">
        <w:rPr>
          <w:rStyle w:val="addmd"/>
          <w:rFonts w:asciiTheme="minorHAnsi" w:hAnsiTheme="minorHAnsi"/>
        </w:rPr>
        <w:t xml:space="preserve">), </w:t>
      </w:r>
      <w:r w:rsidRPr="00CD6659">
        <w:rPr>
          <w:rStyle w:val="addmd"/>
          <w:rFonts w:asciiTheme="minorHAnsi" w:hAnsiTheme="minorHAnsi"/>
          <w:i/>
        </w:rPr>
        <w:t>Reconstructing Hybridity: Post-Colonial Studies in Transition</w:t>
      </w:r>
      <w:r w:rsidRPr="00CD6659">
        <w:rPr>
          <w:rStyle w:val="addmd"/>
          <w:rFonts w:asciiTheme="minorHAnsi" w:hAnsiTheme="minorHAnsi"/>
        </w:rPr>
        <w:t xml:space="preserve">, </w:t>
      </w:r>
      <w:r w:rsidR="00922B6C">
        <w:rPr>
          <w:rStyle w:val="addmd"/>
          <w:rFonts w:asciiTheme="minorHAnsi" w:hAnsiTheme="minorHAnsi"/>
        </w:rPr>
        <w:t xml:space="preserve">Amsterdam, The Netherlands and New York, US: </w:t>
      </w:r>
      <w:proofErr w:type="spellStart"/>
      <w:r w:rsidR="00922B6C">
        <w:rPr>
          <w:rStyle w:val="addmd"/>
          <w:rFonts w:asciiTheme="minorHAnsi" w:hAnsiTheme="minorHAnsi"/>
        </w:rPr>
        <w:t>Rodopi</w:t>
      </w:r>
      <w:proofErr w:type="spellEnd"/>
      <w:r w:rsidR="00922B6C">
        <w:rPr>
          <w:rStyle w:val="addmd"/>
          <w:rFonts w:asciiTheme="minorHAnsi" w:hAnsiTheme="minorHAnsi"/>
        </w:rPr>
        <w:t xml:space="preserve">, </w:t>
      </w:r>
      <w:r w:rsidR="00922B6C">
        <w:rPr>
          <w:rFonts w:asciiTheme="minorHAnsi" w:hAnsiTheme="minorHAnsi"/>
        </w:rPr>
        <w:t xml:space="preserve">p. </w:t>
      </w:r>
      <w:r w:rsidRPr="00CD6659">
        <w:rPr>
          <w:rFonts w:asciiTheme="minorHAnsi" w:hAnsiTheme="minorHAnsi"/>
        </w:rPr>
        <w:t>2.</w:t>
      </w:r>
    </w:p>
  </w:footnote>
  <w:footnote w:id="6">
    <w:p w:rsidR="00115CB3" w:rsidRPr="00CD6659" w:rsidRDefault="00115CB3" w:rsidP="00A07FBF">
      <w:pPr>
        <w:pStyle w:val="FootnoteText"/>
        <w:spacing w:line="240" w:lineRule="auto"/>
        <w:rPr>
          <w:rFonts w:asciiTheme="minorHAnsi" w:hAnsiTheme="minorHAnsi"/>
        </w:rPr>
      </w:pPr>
      <w:r w:rsidRPr="00CD6659">
        <w:rPr>
          <w:rStyle w:val="FootnoteReference"/>
          <w:rFonts w:asciiTheme="minorHAnsi" w:hAnsiTheme="minorHAnsi"/>
        </w:rPr>
        <w:footnoteRef/>
      </w:r>
      <w:r w:rsidRPr="00CD6659">
        <w:rPr>
          <w:rFonts w:asciiTheme="minorHAnsi" w:hAnsiTheme="minorHAnsi"/>
        </w:rPr>
        <w:t xml:space="preserve"> Richmond &amp; Mitchell redefine the word ‘local’ as referring to ‘the terrain in which everyday practices are used within (and in order to create) a local space. In this sense, the local is not to be </w:t>
      </w:r>
      <w:proofErr w:type="spellStart"/>
      <w:r w:rsidRPr="00CD6659">
        <w:rPr>
          <w:rFonts w:asciiTheme="minorHAnsi" w:hAnsiTheme="minorHAnsi"/>
        </w:rPr>
        <w:t>essentialized</w:t>
      </w:r>
      <w:proofErr w:type="spellEnd"/>
      <w:r w:rsidRPr="00CD6659">
        <w:rPr>
          <w:rFonts w:asciiTheme="minorHAnsi" w:hAnsiTheme="minorHAnsi"/>
        </w:rPr>
        <w:t xml:space="preserve"> or </w:t>
      </w:r>
      <w:proofErr w:type="spellStart"/>
      <w:r w:rsidRPr="00CD6659">
        <w:rPr>
          <w:rFonts w:asciiTheme="minorHAnsi" w:hAnsiTheme="minorHAnsi"/>
        </w:rPr>
        <w:t>parochialized</w:t>
      </w:r>
      <w:proofErr w:type="spellEnd"/>
      <w:r w:rsidRPr="00CD6659">
        <w:rPr>
          <w:rFonts w:asciiTheme="minorHAnsi" w:hAnsiTheme="minorHAnsi"/>
        </w:rPr>
        <w:t>; it refers to a space that is, in a sense, transversal, transnational and even global, or at least a feature of most human societies. Whilst the local is the realm in which everyday activities emerge and unfold, a locale is a unique local space conditioned by the everyday traditions, practices, values, identities and moral, ethical or “radical” (i.e., root) sources of the groups in question.’ (</w:t>
      </w:r>
      <w:r w:rsidR="00922B6C" w:rsidRPr="00CD6659">
        <w:rPr>
          <w:rFonts w:asciiTheme="minorHAnsi" w:hAnsiTheme="minorHAnsi"/>
        </w:rPr>
        <w:t xml:space="preserve">Richmond </w:t>
      </w:r>
      <w:r w:rsidR="00922B6C">
        <w:rPr>
          <w:rFonts w:asciiTheme="minorHAnsi" w:hAnsiTheme="minorHAnsi"/>
        </w:rPr>
        <w:t xml:space="preserve">O. </w:t>
      </w:r>
      <w:r w:rsidR="00922B6C" w:rsidRPr="00CD6659">
        <w:rPr>
          <w:rFonts w:asciiTheme="minorHAnsi" w:hAnsiTheme="minorHAnsi"/>
        </w:rPr>
        <w:t>&amp; A. Mitchell,</w:t>
      </w:r>
      <w:r w:rsidR="00922B6C">
        <w:rPr>
          <w:rFonts w:asciiTheme="minorHAnsi" w:hAnsiTheme="minorHAnsi"/>
        </w:rPr>
        <w:t xml:space="preserve"> (2012),</w:t>
      </w:r>
      <w:r w:rsidR="00922B6C" w:rsidRPr="00CD6659">
        <w:rPr>
          <w:rFonts w:asciiTheme="minorHAnsi" w:hAnsiTheme="minorHAnsi"/>
        </w:rPr>
        <w:t xml:space="preserve"> ‘Introduction’ in Richmond</w:t>
      </w:r>
      <w:r w:rsidR="00922B6C">
        <w:rPr>
          <w:rFonts w:asciiTheme="minorHAnsi" w:hAnsiTheme="minorHAnsi"/>
        </w:rPr>
        <w:t>, O.</w:t>
      </w:r>
      <w:r w:rsidR="00922B6C" w:rsidRPr="00CD6659">
        <w:rPr>
          <w:rFonts w:asciiTheme="minorHAnsi" w:hAnsiTheme="minorHAnsi"/>
        </w:rPr>
        <w:t xml:space="preserve"> &amp; </w:t>
      </w:r>
      <w:r w:rsidR="00922B6C">
        <w:rPr>
          <w:rFonts w:asciiTheme="minorHAnsi" w:hAnsiTheme="minorHAnsi"/>
        </w:rPr>
        <w:t>A. Mitchell (</w:t>
      </w:r>
      <w:proofErr w:type="spellStart"/>
      <w:proofErr w:type="gramStart"/>
      <w:r w:rsidR="00922B6C">
        <w:rPr>
          <w:rFonts w:asciiTheme="minorHAnsi" w:hAnsiTheme="minorHAnsi"/>
        </w:rPr>
        <w:t>eds</w:t>
      </w:r>
      <w:proofErr w:type="spellEnd"/>
      <w:proofErr w:type="gramEnd"/>
      <w:r w:rsidR="00922B6C">
        <w:rPr>
          <w:rFonts w:asciiTheme="minorHAnsi" w:hAnsiTheme="minorHAnsi"/>
        </w:rPr>
        <w:t>)</w:t>
      </w:r>
      <w:r w:rsidR="00922B6C" w:rsidRPr="00CD6659">
        <w:rPr>
          <w:rFonts w:asciiTheme="minorHAnsi" w:hAnsiTheme="minorHAnsi"/>
        </w:rPr>
        <w:t xml:space="preserve">, </w:t>
      </w:r>
      <w:r w:rsidR="00922B6C" w:rsidRPr="00CD6659">
        <w:rPr>
          <w:rFonts w:asciiTheme="minorHAnsi" w:hAnsiTheme="minorHAnsi"/>
          <w:i/>
        </w:rPr>
        <w:t>Hybrid Forms of Peace: From everyday agency to post-liberalism</w:t>
      </w:r>
      <w:r w:rsidR="00922B6C" w:rsidRPr="00CD6659">
        <w:rPr>
          <w:rFonts w:asciiTheme="minorHAnsi" w:hAnsiTheme="minorHAnsi"/>
        </w:rPr>
        <w:t xml:space="preserve">, </w:t>
      </w:r>
      <w:r w:rsidR="00393FC0">
        <w:rPr>
          <w:rFonts w:asciiTheme="minorHAnsi" w:hAnsiTheme="minorHAnsi"/>
        </w:rPr>
        <w:t>Basingstoke, UK and New York, US: Palgrave MacMillan</w:t>
      </w:r>
      <w:r w:rsidRPr="00CD6659">
        <w:rPr>
          <w:rFonts w:asciiTheme="minorHAnsi" w:hAnsiTheme="minorHAnsi"/>
        </w:rPr>
        <w:t xml:space="preserve">, </w:t>
      </w:r>
      <w:r w:rsidR="00922B6C">
        <w:rPr>
          <w:rFonts w:asciiTheme="minorHAnsi" w:hAnsiTheme="minorHAnsi"/>
        </w:rPr>
        <w:t>p.</w:t>
      </w:r>
      <w:r w:rsidRPr="00CD6659">
        <w:rPr>
          <w:rFonts w:asciiTheme="minorHAnsi" w:hAnsiTheme="minorHAnsi"/>
        </w:rPr>
        <w:t>11).</w:t>
      </w:r>
    </w:p>
  </w:footnote>
  <w:footnote w:id="7">
    <w:p w:rsidR="007A1AD4" w:rsidRPr="00CD6659" w:rsidRDefault="007A1AD4" w:rsidP="00A07FBF">
      <w:pPr>
        <w:pStyle w:val="FootnoteText"/>
        <w:spacing w:line="240" w:lineRule="auto"/>
        <w:rPr>
          <w:rFonts w:asciiTheme="minorHAnsi" w:hAnsiTheme="minorHAnsi"/>
        </w:rPr>
      </w:pPr>
      <w:r w:rsidRPr="00CD6659">
        <w:rPr>
          <w:rStyle w:val="FootnoteReference"/>
          <w:rFonts w:asciiTheme="minorHAnsi" w:hAnsiTheme="minorHAnsi"/>
        </w:rPr>
        <w:footnoteRef/>
      </w:r>
      <w:r w:rsidRPr="00CD6659">
        <w:rPr>
          <w:rFonts w:asciiTheme="minorHAnsi" w:hAnsiTheme="minorHAnsi"/>
        </w:rPr>
        <w:t xml:space="preserve"> </w:t>
      </w:r>
      <w:proofErr w:type="gramStart"/>
      <w:r w:rsidRPr="00CD6659">
        <w:rPr>
          <w:rFonts w:asciiTheme="minorHAnsi" w:hAnsiTheme="minorHAnsi"/>
        </w:rPr>
        <w:t>Richmond</w:t>
      </w:r>
      <w:r w:rsidR="00393FC0">
        <w:rPr>
          <w:rFonts w:asciiTheme="minorHAnsi" w:hAnsiTheme="minorHAnsi"/>
        </w:rPr>
        <w:t xml:space="preserve"> </w:t>
      </w:r>
      <w:r w:rsidRPr="00CD6659">
        <w:rPr>
          <w:rFonts w:asciiTheme="minorHAnsi" w:hAnsiTheme="minorHAnsi"/>
        </w:rPr>
        <w:t>&amp; Mitchell,</w:t>
      </w:r>
      <w:r w:rsidR="00393FC0">
        <w:rPr>
          <w:rFonts w:asciiTheme="minorHAnsi" w:hAnsiTheme="minorHAnsi"/>
          <w:i/>
        </w:rPr>
        <w:t xml:space="preserve"> id</w:t>
      </w:r>
      <w:r w:rsidRPr="00CD6659">
        <w:rPr>
          <w:rFonts w:asciiTheme="minorHAnsi" w:hAnsiTheme="minorHAnsi"/>
        </w:rPr>
        <w:t>.</w:t>
      </w:r>
      <w:proofErr w:type="gramEnd"/>
      <w:r w:rsidRPr="00CD6659">
        <w:rPr>
          <w:rFonts w:asciiTheme="minorHAnsi" w:hAnsiTheme="minorHAnsi"/>
        </w:rPr>
        <w:t xml:space="preserve"> </w:t>
      </w:r>
    </w:p>
  </w:footnote>
  <w:footnote w:id="8">
    <w:p w:rsidR="007A1AD4" w:rsidRPr="00CD6659" w:rsidRDefault="007A1AD4" w:rsidP="00A07FBF">
      <w:pPr>
        <w:pStyle w:val="FootnoteText"/>
        <w:spacing w:line="240" w:lineRule="auto"/>
        <w:rPr>
          <w:rFonts w:asciiTheme="minorHAnsi" w:hAnsiTheme="minorHAnsi"/>
        </w:rPr>
      </w:pPr>
      <w:r w:rsidRPr="00CD6659">
        <w:rPr>
          <w:rStyle w:val="FootnoteReference"/>
          <w:rFonts w:asciiTheme="minorHAnsi" w:hAnsiTheme="minorHAnsi"/>
        </w:rPr>
        <w:footnoteRef/>
      </w:r>
      <w:r w:rsidRPr="00CD6659">
        <w:rPr>
          <w:rFonts w:asciiTheme="minorHAnsi" w:hAnsiTheme="minorHAnsi"/>
        </w:rPr>
        <w:t xml:space="preserve"> </w:t>
      </w:r>
      <w:proofErr w:type="spellStart"/>
      <w:proofErr w:type="gramStart"/>
      <w:r w:rsidRPr="00CD6659">
        <w:rPr>
          <w:rFonts w:asciiTheme="minorHAnsi" w:hAnsiTheme="minorHAnsi"/>
        </w:rPr>
        <w:t>Bhabha</w:t>
      </w:r>
      <w:proofErr w:type="spellEnd"/>
      <w:r w:rsidRPr="00CD6659">
        <w:rPr>
          <w:rFonts w:asciiTheme="minorHAnsi" w:hAnsiTheme="minorHAnsi"/>
        </w:rPr>
        <w:t xml:space="preserve">, </w:t>
      </w:r>
      <w:r w:rsidR="00DE6258">
        <w:rPr>
          <w:rFonts w:asciiTheme="minorHAnsi" w:hAnsiTheme="minorHAnsi"/>
        </w:rPr>
        <w:t xml:space="preserve">above n </w:t>
      </w:r>
      <w:r w:rsidR="00DE6258">
        <w:rPr>
          <w:rFonts w:asciiTheme="minorHAnsi" w:hAnsiTheme="minorHAnsi"/>
        </w:rPr>
        <w:fldChar w:fldCharType="begin"/>
      </w:r>
      <w:r w:rsidR="00DE6258">
        <w:rPr>
          <w:rFonts w:asciiTheme="minorHAnsi" w:hAnsiTheme="minorHAnsi"/>
        </w:rPr>
        <w:instrText xml:space="preserve"> NOTEREF _Ref375723114 \h </w:instrText>
      </w:r>
      <w:r w:rsidR="00DE6258">
        <w:rPr>
          <w:rFonts w:asciiTheme="minorHAnsi" w:hAnsiTheme="minorHAnsi"/>
        </w:rPr>
      </w:r>
      <w:r w:rsidR="00DE6258">
        <w:rPr>
          <w:rFonts w:asciiTheme="minorHAnsi" w:hAnsiTheme="minorHAnsi"/>
        </w:rPr>
        <w:fldChar w:fldCharType="separate"/>
      </w:r>
      <w:r w:rsidR="00512C5B">
        <w:rPr>
          <w:rFonts w:asciiTheme="minorHAnsi" w:hAnsiTheme="minorHAnsi"/>
        </w:rPr>
        <w:t>3</w:t>
      </w:r>
      <w:r w:rsidR="00DE6258">
        <w:rPr>
          <w:rFonts w:asciiTheme="minorHAnsi" w:hAnsiTheme="minorHAnsi"/>
        </w:rPr>
        <w:fldChar w:fldCharType="end"/>
      </w:r>
      <w:r w:rsidRPr="00CD6659">
        <w:rPr>
          <w:rFonts w:asciiTheme="minorHAnsi" w:hAnsiTheme="minorHAnsi"/>
        </w:rPr>
        <w:t>.</w:t>
      </w:r>
      <w:proofErr w:type="gramEnd"/>
    </w:p>
  </w:footnote>
  <w:footnote w:id="9">
    <w:p w:rsidR="00E1435D" w:rsidRPr="00C379C7" w:rsidRDefault="00E1435D" w:rsidP="00A07FBF">
      <w:pPr>
        <w:pStyle w:val="FootnoteText"/>
        <w:spacing w:line="240" w:lineRule="auto"/>
        <w:jc w:val="left"/>
        <w:rPr>
          <w:rFonts w:asciiTheme="minorHAnsi" w:hAnsiTheme="minorHAnsi"/>
          <w:lang w:val="es-ES_tradnl"/>
        </w:rPr>
      </w:pPr>
      <w:r w:rsidRPr="00C379C7">
        <w:rPr>
          <w:rStyle w:val="FootnoteReference"/>
          <w:rFonts w:asciiTheme="minorHAnsi" w:hAnsiTheme="minorHAnsi"/>
        </w:rPr>
        <w:footnoteRef/>
      </w:r>
      <w:r w:rsidRPr="00C379C7">
        <w:rPr>
          <w:rFonts w:asciiTheme="minorHAnsi" w:hAnsiTheme="minorHAnsi"/>
          <w:lang w:val="es-ES_tradnl"/>
        </w:rPr>
        <w:t xml:space="preserve"> </w:t>
      </w:r>
      <w:proofErr w:type="spellStart"/>
      <w:r w:rsidRPr="00C379C7">
        <w:rPr>
          <w:rFonts w:asciiTheme="minorHAnsi" w:hAnsiTheme="minorHAnsi"/>
          <w:lang w:val="es-ES_tradnl"/>
        </w:rPr>
        <w:t>Paolini</w:t>
      </w:r>
      <w:proofErr w:type="spellEnd"/>
      <w:r w:rsidRPr="00C379C7">
        <w:rPr>
          <w:rFonts w:asciiTheme="minorHAnsi" w:hAnsiTheme="minorHAnsi"/>
          <w:lang w:val="es-ES_tradnl"/>
        </w:rPr>
        <w:t xml:space="preserve">, </w:t>
      </w:r>
      <w:r w:rsidR="00393FC0">
        <w:rPr>
          <w:rFonts w:asciiTheme="minorHAnsi" w:hAnsiTheme="minorHAnsi"/>
          <w:lang w:val="es-ES_tradnl"/>
        </w:rPr>
        <w:t xml:space="preserve">A.J., </w:t>
      </w:r>
      <w:r w:rsidR="00393FC0">
        <w:rPr>
          <w:rFonts w:asciiTheme="minorHAnsi" w:hAnsiTheme="minorHAnsi"/>
        </w:rPr>
        <w:t>(1999)</w:t>
      </w:r>
      <w:r w:rsidR="00393FC0">
        <w:rPr>
          <w:rFonts w:asciiTheme="minorHAnsi" w:hAnsiTheme="minorHAnsi"/>
        </w:rPr>
        <w:t xml:space="preserve">, </w:t>
      </w:r>
      <w:r w:rsidR="00393FC0" w:rsidRPr="00CD6659">
        <w:rPr>
          <w:rFonts w:asciiTheme="minorHAnsi" w:hAnsiTheme="minorHAnsi"/>
          <w:i/>
        </w:rPr>
        <w:t xml:space="preserve">Navigating Modernity: </w:t>
      </w:r>
      <w:proofErr w:type="spellStart"/>
      <w:r w:rsidR="00393FC0" w:rsidRPr="00CD6659">
        <w:rPr>
          <w:rFonts w:asciiTheme="minorHAnsi" w:hAnsiTheme="minorHAnsi"/>
          <w:i/>
        </w:rPr>
        <w:t>Postcolonialism</w:t>
      </w:r>
      <w:proofErr w:type="spellEnd"/>
      <w:r w:rsidR="00393FC0" w:rsidRPr="00CD6659">
        <w:rPr>
          <w:rFonts w:asciiTheme="minorHAnsi" w:hAnsiTheme="minorHAnsi"/>
          <w:i/>
        </w:rPr>
        <w:t>, Identity and International Relations</w:t>
      </w:r>
      <w:r w:rsidRPr="00C379C7">
        <w:rPr>
          <w:rFonts w:asciiTheme="minorHAnsi" w:hAnsiTheme="minorHAnsi"/>
          <w:lang w:val="es-ES_tradnl"/>
        </w:rPr>
        <w:t>,</w:t>
      </w:r>
      <w:r w:rsidR="00393FC0">
        <w:rPr>
          <w:rFonts w:asciiTheme="minorHAnsi" w:hAnsiTheme="minorHAnsi"/>
          <w:lang w:val="es-ES_tradnl"/>
        </w:rPr>
        <w:t xml:space="preserve"> London, UK and Colorado US: </w:t>
      </w:r>
      <w:proofErr w:type="spellStart"/>
      <w:r w:rsidR="00393FC0">
        <w:rPr>
          <w:rFonts w:asciiTheme="minorHAnsi" w:hAnsiTheme="minorHAnsi"/>
          <w:lang w:val="es-ES_tradnl"/>
        </w:rPr>
        <w:t>Lynne</w:t>
      </w:r>
      <w:proofErr w:type="spellEnd"/>
      <w:r w:rsidR="00393FC0">
        <w:rPr>
          <w:rFonts w:asciiTheme="minorHAnsi" w:hAnsiTheme="minorHAnsi"/>
          <w:lang w:val="es-ES_tradnl"/>
        </w:rPr>
        <w:t xml:space="preserve"> </w:t>
      </w:r>
      <w:proofErr w:type="spellStart"/>
      <w:r w:rsidR="00393FC0">
        <w:rPr>
          <w:rFonts w:asciiTheme="minorHAnsi" w:hAnsiTheme="minorHAnsi"/>
          <w:lang w:val="es-ES_tradnl"/>
        </w:rPr>
        <w:t>Rienner</w:t>
      </w:r>
      <w:proofErr w:type="spellEnd"/>
      <w:r w:rsidR="00393FC0">
        <w:rPr>
          <w:rFonts w:asciiTheme="minorHAnsi" w:hAnsiTheme="minorHAnsi"/>
          <w:lang w:val="es-ES_tradnl"/>
        </w:rPr>
        <w:t xml:space="preserve"> </w:t>
      </w:r>
      <w:proofErr w:type="spellStart"/>
      <w:r w:rsidR="00393FC0">
        <w:rPr>
          <w:rFonts w:asciiTheme="minorHAnsi" w:hAnsiTheme="minorHAnsi"/>
          <w:lang w:val="es-ES_tradnl"/>
        </w:rPr>
        <w:t>Publishers</w:t>
      </w:r>
      <w:proofErr w:type="spellEnd"/>
      <w:r w:rsidR="00393FC0">
        <w:rPr>
          <w:rFonts w:asciiTheme="minorHAnsi" w:hAnsiTheme="minorHAnsi"/>
          <w:lang w:val="es-ES_tradnl"/>
        </w:rPr>
        <w:t>, p.</w:t>
      </w:r>
      <w:r w:rsidRPr="00C379C7">
        <w:rPr>
          <w:rFonts w:asciiTheme="minorHAnsi" w:hAnsiTheme="minorHAnsi"/>
          <w:lang w:val="es-ES_tradnl"/>
        </w:rPr>
        <w:t xml:space="preserve"> 6. </w:t>
      </w:r>
    </w:p>
  </w:footnote>
  <w:footnote w:id="10">
    <w:p w:rsidR="00E1435D" w:rsidRPr="00C379C7" w:rsidRDefault="00E1435D" w:rsidP="00A07FBF">
      <w:pPr>
        <w:pStyle w:val="FootnoteText"/>
        <w:spacing w:line="240" w:lineRule="auto"/>
        <w:jc w:val="left"/>
        <w:rPr>
          <w:rFonts w:asciiTheme="minorHAnsi" w:hAnsiTheme="minorHAnsi"/>
          <w:lang w:val="es-ES_tradnl"/>
        </w:rPr>
      </w:pPr>
      <w:r w:rsidRPr="00C379C7">
        <w:rPr>
          <w:rStyle w:val="FootnoteReference"/>
          <w:rFonts w:asciiTheme="minorHAnsi" w:hAnsiTheme="minorHAnsi"/>
        </w:rPr>
        <w:footnoteRef/>
      </w:r>
      <w:r w:rsidRPr="00C379C7">
        <w:rPr>
          <w:rFonts w:asciiTheme="minorHAnsi" w:hAnsiTheme="minorHAnsi"/>
          <w:lang w:val="es-ES_tradnl"/>
        </w:rPr>
        <w:t xml:space="preserve"> </w:t>
      </w:r>
      <w:proofErr w:type="spellStart"/>
      <w:r w:rsidRPr="00C379C7">
        <w:rPr>
          <w:rFonts w:asciiTheme="minorHAnsi" w:hAnsiTheme="minorHAnsi"/>
          <w:i/>
          <w:lang w:val="es-ES_tradnl"/>
        </w:rPr>
        <w:t>Ibid</w:t>
      </w:r>
      <w:proofErr w:type="spellEnd"/>
      <w:r w:rsidRPr="00C379C7">
        <w:rPr>
          <w:rFonts w:asciiTheme="minorHAnsi" w:hAnsiTheme="minorHAnsi"/>
          <w:i/>
          <w:lang w:val="es-ES_tradnl"/>
        </w:rPr>
        <w:t>.</w:t>
      </w:r>
      <w:r w:rsidRPr="00C379C7">
        <w:rPr>
          <w:rFonts w:asciiTheme="minorHAnsi" w:hAnsiTheme="minorHAnsi"/>
          <w:lang w:val="es-ES_tradnl"/>
        </w:rPr>
        <w:t>,</w:t>
      </w:r>
      <w:r w:rsidRPr="00C379C7">
        <w:rPr>
          <w:rFonts w:asciiTheme="minorHAnsi" w:hAnsiTheme="minorHAnsi"/>
          <w:i/>
          <w:lang w:val="es-ES_tradnl"/>
        </w:rPr>
        <w:t xml:space="preserve"> </w:t>
      </w:r>
      <w:r w:rsidRPr="00C379C7">
        <w:rPr>
          <w:rFonts w:asciiTheme="minorHAnsi" w:hAnsiTheme="minorHAnsi"/>
          <w:lang w:val="es-ES_tradnl"/>
        </w:rPr>
        <w:t>5.</w:t>
      </w:r>
    </w:p>
  </w:footnote>
  <w:footnote w:id="11">
    <w:p w:rsidR="00E1435D" w:rsidRPr="00CD6659" w:rsidRDefault="00E1435D" w:rsidP="00A07FBF">
      <w:pPr>
        <w:pStyle w:val="FootnoteText"/>
        <w:spacing w:line="240" w:lineRule="auto"/>
        <w:jc w:val="left"/>
        <w:rPr>
          <w:rFonts w:asciiTheme="minorHAnsi" w:hAnsiTheme="minorHAnsi"/>
        </w:rPr>
      </w:pPr>
      <w:r w:rsidRPr="00CD6659">
        <w:rPr>
          <w:rStyle w:val="FootnoteReference"/>
          <w:rFonts w:asciiTheme="minorHAnsi" w:hAnsiTheme="minorHAnsi"/>
        </w:rPr>
        <w:footnoteRef/>
      </w:r>
      <w:r w:rsidRPr="00CD6659">
        <w:rPr>
          <w:rFonts w:asciiTheme="minorHAnsi" w:hAnsiTheme="minorHAnsi"/>
        </w:rPr>
        <w:t xml:space="preserve"> See generally </w:t>
      </w:r>
      <w:proofErr w:type="spellStart"/>
      <w:r w:rsidRPr="00CD6659">
        <w:rPr>
          <w:rFonts w:asciiTheme="minorHAnsi" w:hAnsiTheme="minorHAnsi"/>
        </w:rPr>
        <w:t>Paolini</w:t>
      </w:r>
      <w:proofErr w:type="spellEnd"/>
      <w:r w:rsidRPr="00CD6659">
        <w:rPr>
          <w:rFonts w:asciiTheme="minorHAnsi" w:hAnsiTheme="minorHAnsi"/>
        </w:rPr>
        <w:t xml:space="preserve">, </w:t>
      </w:r>
      <w:r w:rsidR="00393FC0">
        <w:rPr>
          <w:rFonts w:asciiTheme="minorHAnsi" w:hAnsiTheme="minorHAnsi"/>
          <w:i/>
        </w:rPr>
        <w:t>ibid</w:t>
      </w:r>
      <w:r w:rsidR="00393FC0">
        <w:rPr>
          <w:rFonts w:asciiTheme="minorHAnsi" w:hAnsiTheme="minorHAnsi"/>
        </w:rPr>
        <w:t xml:space="preserve">, </w:t>
      </w:r>
      <w:r w:rsidRPr="00CD6659">
        <w:rPr>
          <w:rFonts w:asciiTheme="minorHAnsi" w:hAnsiTheme="minorHAnsi"/>
        </w:rPr>
        <w:t xml:space="preserve">particularly the methodology contained within </w:t>
      </w:r>
      <w:r w:rsidR="00393FC0">
        <w:rPr>
          <w:rFonts w:asciiTheme="minorHAnsi" w:hAnsiTheme="minorHAnsi"/>
        </w:rPr>
        <w:t xml:space="preserve">pp. </w:t>
      </w:r>
      <w:r w:rsidRPr="00CD6659">
        <w:rPr>
          <w:rFonts w:asciiTheme="minorHAnsi" w:hAnsiTheme="minorHAnsi"/>
        </w:rPr>
        <w:t xml:space="preserve">5-8. </w:t>
      </w:r>
    </w:p>
  </w:footnote>
  <w:footnote w:id="12">
    <w:p w:rsidR="007A1AD4" w:rsidRPr="00CD6659" w:rsidRDefault="007A1AD4" w:rsidP="00A07FBF">
      <w:pPr>
        <w:pStyle w:val="FootnoteText"/>
        <w:spacing w:line="240" w:lineRule="auto"/>
        <w:rPr>
          <w:rFonts w:asciiTheme="minorHAnsi" w:hAnsiTheme="minorHAnsi"/>
        </w:rPr>
      </w:pPr>
      <w:r w:rsidRPr="00CD6659">
        <w:rPr>
          <w:rStyle w:val="FootnoteReference"/>
          <w:rFonts w:asciiTheme="minorHAnsi" w:hAnsiTheme="minorHAnsi"/>
        </w:rPr>
        <w:footnoteRef/>
      </w:r>
      <w:r w:rsidRPr="00CD6659">
        <w:rPr>
          <w:rFonts w:asciiTheme="minorHAnsi" w:hAnsiTheme="minorHAnsi"/>
        </w:rPr>
        <w:t xml:space="preserve"> Peterson,</w:t>
      </w:r>
      <w:r w:rsidR="00393FC0">
        <w:rPr>
          <w:rFonts w:asciiTheme="minorHAnsi" w:hAnsiTheme="minorHAnsi"/>
        </w:rPr>
        <w:t xml:space="preserve"> </w:t>
      </w:r>
      <w:r w:rsidR="00393FC0" w:rsidRPr="00CD6659">
        <w:rPr>
          <w:rFonts w:asciiTheme="minorHAnsi" w:hAnsiTheme="minorHAnsi"/>
        </w:rPr>
        <w:t>J.H.</w:t>
      </w:r>
      <w:r w:rsidR="00393FC0">
        <w:rPr>
          <w:rFonts w:asciiTheme="minorHAnsi" w:hAnsiTheme="minorHAnsi"/>
        </w:rPr>
        <w:t xml:space="preserve">, (2012), </w:t>
      </w:r>
      <w:r w:rsidRPr="00CD6659">
        <w:rPr>
          <w:rFonts w:asciiTheme="minorHAnsi" w:hAnsiTheme="minorHAnsi"/>
        </w:rPr>
        <w:t>‘A Conceptual Unpacking Of Hybridity: Accounting For Notions Of Power, Politics And Progress In Analyses Of Aid-Driven Interfaces’</w:t>
      </w:r>
      <w:r w:rsidR="00393FC0">
        <w:rPr>
          <w:rFonts w:asciiTheme="minorHAnsi" w:hAnsiTheme="minorHAnsi"/>
        </w:rPr>
        <w:t>,</w:t>
      </w:r>
      <w:r w:rsidRPr="00CD6659">
        <w:rPr>
          <w:rFonts w:asciiTheme="minorHAnsi" w:hAnsiTheme="minorHAnsi"/>
        </w:rPr>
        <w:t xml:space="preserve"> </w:t>
      </w:r>
      <w:r w:rsidRPr="00CD6659">
        <w:rPr>
          <w:rFonts w:asciiTheme="minorHAnsi" w:hAnsiTheme="minorHAnsi"/>
          <w:i/>
        </w:rPr>
        <w:t>Journal of Peacebuilding &amp; Development</w:t>
      </w:r>
      <w:r w:rsidRPr="00CD6659">
        <w:rPr>
          <w:rFonts w:asciiTheme="minorHAnsi" w:hAnsiTheme="minorHAnsi"/>
        </w:rPr>
        <w:t xml:space="preserve">, 7(2), </w:t>
      </w:r>
      <w:r w:rsidR="00393FC0">
        <w:rPr>
          <w:rFonts w:asciiTheme="minorHAnsi" w:hAnsiTheme="minorHAnsi"/>
        </w:rPr>
        <w:t xml:space="preserve">p. </w:t>
      </w:r>
      <w:r w:rsidRPr="00CD6659">
        <w:rPr>
          <w:rFonts w:asciiTheme="minorHAnsi" w:hAnsiTheme="minorHAnsi"/>
        </w:rPr>
        <w:t>12.</w:t>
      </w:r>
    </w:p>
  </w:footnote>
  <w:footnote w:id="13">
    <w:p w:rsidR="007A1AD4" w:rsidRPr="00CD6659" w:rsidRDefault="007A1AD4" w:rsidP="00A07FBF">
      <w:pPr>
        <w:pStyle w:val="FootnoteText"/>
        <w:spacing w:line="240" w:lineRule="auto"/>
        <w:rPr>
          <w:rFonts w:asciiTheme="minorHAnsi" w:hAnsiTheme="minorHAnsi"/>
          <w:b/>
        </w:rPr>
      </w:pPr>
      <w:r w:rsidRPr="00CD6659">
        <w:rPr>
          <w:rStyle w:val="FootnoteReference"/>
          <w:rFonts w:asciiTheme="minorHAnsi" w:hAnsiTheme="minorHAnsi"/>
        </w:rPr>
        <w:footnoteRef/>
      </w:r>
      <w:r w:rsidRPr="00CD6659">
        <w:rPr>
          <w:rFonts w:asciiTheme="minorHAnsi" w:hAnsiTheme="minorHAnsi"/>
        </w:rPr>
        <w:t xml:space="preserve"> See e.g.</w:t>
      </w:r>
      <w:r w:rsidRPr="00CD6659">
        <w:rPr>
          <w:rFonts w:asciiTheme="minorHAnsi" w:hAnsiTheme="minorHAnsi"/>
          <w:b/>
        </w:rPr>
        <w:t xml:space="preserve"> </w:t>
      </w:r>
      <w:proofErr w:type="spellStart"/>
      <w:r w:rsidRPr="00CD6659">
        <w:rPr>
          <w:rFonts w:asciiTheme="minorHAnsi" w:hAnsiTheme="minorHAnsi" w:cs="Arial"/>
        </w:rPr>
        <w:t>Heyns</w:t>
      </w:r>
      <w:proofErr w:type="spellEnd"/>
      <w:r w:rsidRPr="00CD6659">
        <w:rPr>
          <w:rFonts w:asciiTheme="minorHAnsi" w:hAnsiTheme="minorHAnsi" w:cs="Arial"/>
        </w:rPr>
        <w:t>,</w:t>
      </w:r>
      <w:r w:rsidR="00393FC0">
        <w:rPr>
          <w:rFonts w:asciiTheme="minorHAnsi" w:hAnsiTheme="minorHAnsi" w:cs="Arial"/>
        </w:rPr>
        <w:t xml:space="preserve"> C.,</w:t>
      </w:r>
      <w:r w:rsidRPr="00CD6659">
        <w:rPr>
          <w:rFonts w:asciiTheme="minorHAnsi" w:hAnsiTheme="minorHAnsi" w:cs="Arial"/>
        </w:rPr>
        <w:t xml:space="preserve"> </w:t>
      </w:r>
      <w:r w:rsidR="00393FC0">
        <w:rPr>
          <w:rFonts w:asciiTheme="minorHAnsi" w:hAnsiTheme="minorHAnsi" w:cs="Arial"/>
        </w:rPr>
        <w:t xml:space="preserve">(2004), </w:t>
      </w:r>
      <w:r w:rsidRPr="00CD6659">
        <w:rPr>
          <w:rFonts w:asciiTheme="minorHAnsi" w:hAnsiTheme="minorHAnsi" w:cs="Arial"/>
        </w:rPr>
        <w:t>‘The African Regional Human Rights System: The African Charter’</w:t>
      </w:r>
      <w:r w:rsidR="00393FC0">
        <w:rPr>
          <w:rFonts w:asciiTheme="minorHAnsi" w:hAnsiTheme="minorHAnsi" w:cs="Arial"/>
        </w:rPr>
        <w:t>,</w:t>
      </w:r>
      <w:r w:rsidRPr="00CD6659">
        <w:rPr>
          <w:rFonts w:asciiTheme="minorHAnsi" w:hAnsiTheme="minorHAnsi" w:cs="Arial"/>
        </w:rPr>
        <w:t xml:space="preserve"> </w:t>
      </w:r>
      <w:r w:rsidRPr="00CD6659">
        <w:rPr>
          <w:rFonts w:asciiTheme="minorHAnsi" w:hAnsiTheme="minorHAnsi" w:cs="Arial"/>
          <w:i/>
          <w:iCs/>
        </w:rPr>
        <w:t xml:space="preserve">Penn State Law Review </w:t>
      </w:r>
      <w:r w:rsidRPr="00CD6659">
        <w:rPr>
          <w:rFonts w:asciiTheme="minorHAnsi" w:hAnsiTheme="minorHAnsi" w:cs="Arial"/>
          <w:iCs/>
        </w:rPr>
        <w:t>108</w:t>
      </w:r>
      <w:r w:rsidRPr="00CD6659">
        <w:rPr>
          <w:rFonts w:asciiTheme="minorHAnsi" w:hAnsiTheme="minorHAnsi" w:cs="Arial"/>
        </w:rPr>
        <w:t xml:space="preserve">, </w:t>
      </w:r>
      <w:r w:rsidR="00393FC0">
        <w:rPr>
          <w:rFonts w:asciiTheme="minorHAnsi" w:hAnsiTheme="minorHAnsi" w:cs="Arial"/>
        </w:rPr>
        <w:t xml:space="preserve">pp. </w:t>
      </w:r>
      <w:r w:rsidRPr="00CD6659">
        <w:rPr>
          <w:rFonts w:asciiTheme="minorHAnsi" w:hAnsiTheme="minorHAnsi" w:cs="Arial"/>
        </w:rPr>
        <w:t xml:space="preserve">679-702. </w:t>
      </w:r>
    </w:p>
  </w:footnote>
  <w:footnote w:id="14">
    <w:p w:rsidR="007A1AD4" w:rsidRPr="00CD6659" w:rsidRDefault="007A1AD4" w:rsidP="00A07FBF">
      <w:pPr>
        <w:pStyle w:val="FootnoteText"/>
        <w:spacing w:line="240" w:lineRule="auto"/>
        <w:rPr>
          <w:rFonts w:asciiTheme="minorHAnsi" w:hAnsiTheme="minorHAnsi"/>
          <w:b/>
        </w:rPr>
      </w:pPr>
      <w:r w:rsidRPr="00CD6659">
        <w:rPr>
          <w:rStyle w:val="FootnoteReference"/>
          <w:rFonts w:asciiTheme="minorHAnsi" w:hAnsiTheme="minorHAnsi"/>
        </w:rPr>
        <w:footnoteRef/>
      </w:r>
      <w:r w:rsidRPr="00CD6659">
        <w:rPr>
          <w:rFonts w:asciiTheme="minorHAnsi" w:hAnsiTheme="minorHAnsi"/>
        </w:rPr>
        <w:t xml:space="preserve"> See e.g. </w:t>
      </w:r>
      <w:proofErr w:type="spellStart"/>
      <w:r w:rsidRPr="00CD6659">
        <w:rPr>
          <w:rFonts w:asciiTheme="minorHAnsi" w:eastAsia="ヒラギノ角ゴ Pro W3" w:hAnsiTheme="minorHAnsi"/>
          <w:color w:val="000000"/>
        </w:rPr>
        <w:t>Kausikan</w:t>
      </w:r>
      <w:proofErr w:type="spellEnd"/>
      <w:r w:rsidRPr="00CD6659">
        <w:rPr>
          <w:rFonts w:asciiTheme="minorHAnsi" w:eastAsia="ヒラギノ角ゴ Pro W3" w:hAnsiTheme="minorHAnsi"/>
          <w:color w:val="000000"/>
        </w:rPr>
        <w:t xml:space="preserve">, </w:t>
      </w:r>
      <w:r w:rsidR="00393FC0">
        <w:rPr>
          <w:rFonts w:asciiTheme="minorHAnsi" w:eastAsia="ヒラギノ角ゴ Pro W3" w:hAnsiTheme="minorHAnsi"/>
          <w:color w:val="000000"/>
        </w:rPr>
        <w:t xml:space="preserve">B., (1993), </w:t>
      </w:r>
      <w:r w:rsidRPr="00CD6659">
        <w:rPr>
          <w:rFonts w:asciiTheme="minorHAnsi" w:eastAsia="ヒラギノ角ゴ Pro W3" w:hAnsiTheme="minorHAnsi"/>
          <w:color w:val="000000"/>
        </w:rPr>
        <w:t>‘Asia’s Different Standard’</w:t>
      </w:r>
      <w:r w:rsidR="00393FC0">
        <w:rPr>
          <w:rFonts w:asciiTheme="minorHAnsi" w:eastAsia="ヒラギノ角ゴ Pro W3" w:hAnsiTheme="minorHAnsi"/>
          <w:color w:val="000000"/>
        </w:rPr>
        <w:t>,</w:t>
      </w:r>
      <w:r w:rsidRPr="00CD6659">
        <w:rPr>
          <w:rFonts w:asciiTheme="minorHAnsi" w:eastAsia="ヒラギノ角ゴ Pro W3" w:hAnsiTheme="minorHAnsi"/>
          <w:color w:val="000000"/>
        </w:rPr>
        <w:t xml:space="preserve"> </w:t>
      </w:r>
      <w:r w:rsidRPr="00CD6659">
        <w:rPr>
          <w:rFonts w:asciiTheme="minorHAnsi" w:eastAsia="ヒラギノ角ゴ Pro W3" w:hAnsiTheme="minorHAnsi"/>
          <w:i/>
          <w:color w:val="000000"/>
        </w:rPr>
        <w:t>Foreign Policy</w:t>
      </w:r>
      <w:r w:rsidRPr="00CD6659">
        <w:rPr>
          <w:rFonts w:asciiTheme="minorHAnsi" w:eastAsia="ヒラギノ角ゴ Pro W3" w:hAnsiTheme="minorHAnsi"/>
          <w:color w:val="000000"/>
        </w:rPr>
        <w:t xml:space="preserve"> 92, </w:t>
      </w:r>
      <w:r w:rsidR="00393FC0">
        <w:rPr>
          <w:rFonts w:asciiTheme="minorHAnsi" w:eastAsia="ヒラギノ角ゴ Pro W3" w:hAnsiTheme="minorHAnsi"/>
          <w:color w:val="000000"/>
        </w:rPr>
        <w:t xml:space="preserve">pp. </w:t>
      </w:r>
      <w:r w:rsidRPr="00CD6659">
        <w:rPr>
          <w:rFonts w:asciiTheme="minorHAnsi" w:eastAsia="ヒラギノ角ゴ Pro W3" w:hAnsiTheme="minorHAnsi"/>
          <w:color w:val="000000"/>
        </w:rPr>
        <w:t>24-41.</w:t>
      </w:r>
    </w:p>
  </w:footnote>
  <w:footnote w:id="15">
    <w:p w:rsidR="007A1AD4" w:rsidRPr="00CD6659" w:rsidRDefault="007A1AD4" w:rsidP="00A07FBF">
      <w:pPr>
        <w:pStyle w:val="FootnoteText"/>
        <w:spacing w:line="240" w:lineRule="auto"/>
        <w:rPr>
          <w:rFonts w:asciiTheme="minorHAnsi" w:hAnsiTheme="minorHAnsi"/>
          <w:b/>
        </w:rPr>
      </w:pPr>
      <w:r w:rsidRPr="00CD6659">
        <w:rPr>
          <w:rStyle w:val="FootnoteReference"/>
          <w:rFonts w:asciiTheme="minorHAnsi" w:hAnsiTheme="minorHAnsi"/>
        </w:rPr>
        <w:footnoteRef/>
      </w:r>
      <w:r w:rsidRPr="00CD6659">
        <w:rPr>
          <w:rFonts w:asciiTheme="minorHAnsi" w:hAnsiTheme="minorHAnsi"/>
        </w:rPr>
        <w:t xml:space="preserve"> See e.g.</w:t>
      </w:r>
      <w:r w:rsidRPr="00CD6659">
        <w:rPr>
          <w:rFonts w:asciiTheme="minorHAnsi" w:hAnsiTheme="minorHAnsi"/>
          <w:b/>
        </w:rPr>
        <w:t xml:space="preserve"> </w:t>
      </w:r>
      <w:r w:rsidRPr="00CD6659">
        <w:rPr>
          <w:rFonts w:asciiTheme="minorHAnsi" w:hAnsiTheme="minorHAnsi"/>
        </w:rPr>
        <w:t>Morgan-Foster,</w:t>
      </w:r>
      <w:r w:rsidR="00393FC0">
        <w:rPr>
          <w:rFonts w:asciiTheme="minorHAnsi" w:hAnsiTheme="minorHAnsi"/>
        </w:rPr>
        <w:t xml:space="preserve"> J., (2005),</w:t>
      </w:r>
      <w:r w:rsidRPr="00CD6659">
        <w:rPr>
          <w:rFonts w:asciiTheme="minorHAnsi" w:hAnsiTheme="minorHAnsi"/>
        </w:rPr>
        <w:t xml:space="preserve"> ‘Third Generation Rights: What Islamic Law Can Teach the International Human Rights Movement’</w:t>
      </w:r>
      <w:r w:rsidR="00393FC0">
        <w:rPr>
          <w:rFonts w:asciiTheme="minorHAnsi" w:hAnsiTheme="minorHAnsi"/>
        </w:rPr>
        <w:t>,</w:t>
      </w:r>
      <w:r w:rsidRPr="00CD6659">
        <w:rPr>
          <w:rFonts w:asciiTheme="minorHAnsi" w:hAnsiTheme="minorHAnsi"/>
        </w:rPr>
        <w:t xml:space="preserve"> </w:t>
      </w:r>
      <w:r w:rsidRPr="00CD6659">
        <w:rPr>
          <w:rFonts w:asciiTheme="minorHAnsi" w:hAnsiTheme="minorHAnsi"/>
          <w:i/>
        </w:rPr>
        <w:t>Yale Human Rights and Development Law Journal</w:t>
      </w:r>
      <w:r w:rsidRPr="00CD6659">
        <w:rPr>
          <w:rFonts w:asciiTheme="minorHAnsi" w:hAnsiTheme="minorHAnsi"/>
        </w:rPr>
        <w:t xml:space="preserve"> 8, </w:t>
      </w:r>
      <w:r w:rsidR="00393FC0">
        <w:rPr>
          <w:rFonts w:asciiTheme="minorHAnsi" w:hAnsiTheme="minorHAnsi"/>
        </w:rPr>
        <w:t xml:space="preserve">pp. </w:t>
      </w:r>
      <w:r w:rsidRPr="00CD6659">
        <w:rPr>
          <w:rFonts w:asciiTheme="minorHAnsi" w:hAnsiTheme="minorHAnsi"/>
        </w:rPr>
        <w:t>67-116.</w:t>
      </w:r>
    </w:p>
  </w:footnote>
  <w:footnote w:id="16">
    <w:p w:rsidR="00AB5741" w:rsidRPr="00CD6659" w:rsidRDefault="00AB5741" w:rsidP="00A07FBF">
      <w:pPr>
        <w:pStyle w:val="FootnoteText"/>
        <w:spacing w:line="240" w:lineRule="auto"/>
        <w:jc w:val="left"/>
        <w:rPr>
          <w:rFonts w:asciiTheme="minorHAnsi" w:hAnsiTheme="minorHAnsi"/>
        </w:rPr>
      </w:pPr>
      <w:r w:rsidRPr="00CD6659">
        <w:rPr>
          <w:rStyle w:val="FootnoteReference"/>
          <w:rFonts w:asciiTheme="minorHAnsi" w:hAnsiTheme="minorHAnsi"/>
        </w:rPr>
        <w:footnoteRef/>
      </w:r>
      <w:r w:rsidRPr="00CD6659">
        <w:rPr>
          <w:rFonts w:asciiTheme="minorHAnsi" w:hAnsiTheme="minorHAnsi"/>
        </w:rPr>
        <w:t xml:space="preserve"> See e.g. Alston, </w:t>
      </w:r>
      <w:r w:rsidR="00393FC0">
        <w:rPr>
          <w:rFonts w:asciiTheme="minorHAnsi" w:hAnsiTheme="minorHAnsi"/>
        </w:rPr>
        <w:t xml:space="preserve">P., (1982) </w:t>
      </w:r>
      <w:r w:rsidRPr="00CD6659">
        <w:rPr>
          <w:rFonts w:asciiTheme="minorHAnsi" w:hAnsiTheme="minorHAnsi"/>
        </w:rPr>
        <w:t>‘A Third Generation of Solidarity Rights: Progressive Development or Obfuscation of International Human Rights Law?</w:t>
      </w:r>
      <w:proofErr w:type="gramStart"/>
      <w:r w:rsidRPr="00CD6659">
        <w:rPr>
          <w:rFonts w:asciiTheme="minorHAnsi" w:hAnsiTheme="minorHAnsi"/>
        </w:rPr>
        <w:t>’</w:t>
      </w:r>
      <w:r w:rsidR="00393FC0">
        <w:rPr>
          <w:rFonts w:asciiTheme="minorHAnsi" w:hAnsiTheme="minorHAnsi"/>
        </w:rPr>
        <w:t>,</w:t>
      </w:r>
      <w:proofErr w:type="gramEnd"/>
      <w:r w:rsidRPr="00CD6659">
        <w:rPr>
          <w:rFonts w:asciiTheme="minorHAnsi" w:hAnsiTheme="minorHAnsi"/>
        </w:rPr>
        <w:t xml:space="preserve"> </w:t>
      </w:r>
      <w:r w:rsidRPr="00CD6659">
        <w:rPr>
          <w:rFonts w:asciiTheme="minorHAnsi" w:hAnsiTheme="minorHAnsi"/>
          <w:i/>
        </w:rPr>
        <w:t>Netherlands International Law Review</w:t>
      </w:r>
      <w:r w:rsidRPr="00CD6659">
        <w:rPr>
          <w:rFonts w:asciiTheme="minorHAnsi" w:hAnsiTheme="minorHAnsi"/>
        </w:rPr>
        <w:t xml:space="preserve"> 29, </w:t>
      </w:r>
      <w:r w:rsidR="00393FC0">
        <w:rPr>
          <w:rFonts w:asciiTheme="minorHAnsi" w:hAnsiTheme="minorHAnsi"/>
        </w:rPr>
        <w:t xml:space="preserve">pp. </w:t>
      </w:r>
      <w:r w:rsidRPr="00CD6659">
        <w:rPr>
          <w:rFonts w:asciiTheme="minorHAnsi" w:hAnsiTheme="minorHAnsi"/>
        </w:rPr>
        <w:t xml:space="preserve">307-322; </w:t>
      </w:r>
      <w:proofErr w:type="spellStart"/>
      <w:r w:rsidRPr="00CD6659">
        <w:rPr>
          <w:rFonts w:asciiTheme="minorHAnsi" w:hAnsiTheme="minorHAnsi"/>
        </w:rPr>
        <w:t>Triggs</w:t>
      </w:r>
      <w:proofErr w:type="spellEnd"/>
      <w:r w:rsidRPr="00CD6659">
        <w:rPr>
          <w:rFonts w:asciiTheme="minorHAnsi" w:hAnsiTheme="minorHAnsi"/>
        </w:rPr>
        <w:t>,</w:t>
      </w:r>
      <w:r w:rsidR="00393FC0">
        <w:rPr>
          <w:rFonts w:asciiTheme="minorHAnsi" w:hAnsiTheme="minorHAnsi"/>
        </w:rPr>
        <w:t xml:space="preserve"> G., (1988),</w:t>
      </w:r>
      <w:r w:rsidRPr="00CD6659">
        <w:rPr>
          <w:rFonts w:asciiTheme="minorHAnsi" w:hAnsiTheme="minorHAnsi"/>
        </w:rPr>
        <w:t xml:space="preserve"> ‘The Rights of "Peoples" and Individual Rights: Conflict or Harmony?, in </w:t>
      </w:r>
      <w:r w:rsidR="00393FC0">
        <w:rPr>
          <w:rFonts w:asciiTheme="minorHAnsi" w:hAnsiTheme="minorHAnsi"/>
        </w:rPr>
        <w:t>Crawford, J., (</w:t>
      </w:r>
      <w:proofErr w:type="spellStart"/>
      <w:r w:rsidR="00393FC0">
        <w:rPr>
          <w:rFonts w:asciiTheme="minorHAnsi" w:hAnsiTheme="minorHAnsi"/>
        </w:rPr>
        <w:t>ed</w:t>
      </w:r>
      <w:proofErr w:type="spellEnd"/>
      <w:r w:rsidR="00393FC0">
        <w:rPr>
          <w:rFonts w:asciiTheme="minorHAnsi" w:hAnsiTheme="minorHAnsi"/>
        </w:rPr>
        <w:t xml:space="preserve">), </w:t>
      </w:r>
      <w:r w:rsidRPr="00CD6659">
        <w:rPr>
          <w:rFonts w:asciiTheme="minorHAnsi" w:hAnsiTheme="minorHAnsi"/>
          <w:i/>
        </w:rPr>
        <w:t>The Rights Of Peoples</w:t>
      </w:r>
      <w:r w:rsidR="00393FC0">
        <w:rPr>
          <w:rFonts w:asciiTheme="minorHAnsi" w:hAnsiTheme="minorHAnsi"/>
        </w:rPr>
        <w:t xml:space="preserve">, </w:t>
      </w:r>
      <w:r w:rsidR="009870D3">
        <w:rPr>
          <w:rFonts w:asciiTheme="minorHAnsi" w:hAnsiTheme="minorHAnsi"/>
        </w:rPr>
        <w:t>Oxford, UK: Clarendon Press.</w:t>
      </w:r>
      <w:r w:rsidRPr="00CD6659">
        <w:rPr>
          <w:rFonts w:asciiTheme="minorHAnsi" w:hAnsiTheme="minorHAnsi"/>
          <w:i/>
        </w:rPr>
        <w:t xml:space="preserve"> </w:t>
      </w:r>
    </w:p>
  </w:footnote>
  <w:footnote w:id="17">
    <w:p w:rsidR="00A35C6A" w:rsidRPr="00C379C7" w:rsidRDefault="00A35C6A" w:rsidP="00A07FBF">
      <w:pPr>
        <w:pStyle w:val="FootnoteText"/>
        <w:spacing w:line="240" w:lineRule="auto"/>
        <w:jc w:val="left"/>
        <w:rPr>
          <w:rFonts w:asciiTheme="minorHAnsi" w:hAnsiTheme="minorHAnsi"/>
        </w:rPr>
      </w:pPr>
      <w:r w:rsidRPr="00C379C7">
        <w:rPr>
          <w:rStyle w:val="FootnoteReference"/>
          <w:rFonts w:asciiTheme="minorHAnsi" w:hAnsiTheme="minorHAnsi"/>
        </w:rPr>
        <w:footnoteRef/>
      </w:r>
      <w:r w:rsidRPr="00C379C7">
        <w:rPr>
          <w:rFonts w:asciiTheme="minorHAnsi" w:hAnsiTheme="minorHAnsi"/>
        </w:rPr>
        <w:t xml:space="preserve"> See e.g. Richmond &amp; Mitchell, above n</w:t>
      </w:r>
      <w:r w:rsidR="009870D3">
        <w:rPr>
          <w:rFonts w:asciiTheme="minorHAnsi" w:hAnsiTheme="minorHAnsi"/>
        </w:rPr>
        <w:fldChar w:fldCharType="begin"/>
      </w:r>
      <w:r w:rsidR="009870D3">
        <w:rPr>
          <w:rFonts w:asciiTheme="minorHAnsi" w:hAnsiTheme="minorHAnsi"/>
        </w:rPr>
        <w:instrText xml:space="preserve"> NOTEREF _Ref375833554 \h </w:instrText>
      </w:r>
      <w:r w:rsidR="009870D3">
        <w:rPr>
          <w:rFonts w:asciiTheme="minorHAnsi" w:hAnsiTheme="minorHAnsi"/>
        </w:rPr>
      </w:r>
      <w:r w:rsidR="009870D3">
        <w:rPr>
          <w:rFonts w:asciiTheme="minorHAnsi" w:hAnsiTheme="minorHAnsi"/>
        </w:rPr>
        <w:fldChar w:fldCharType="separate"/>
      </w:r>
      <w:r w:rsidR="00512C5B">
        <w:rPr>
          <w:rFonts w:asciiTheme="minorHAnsi" w:hAnsiTheme="minorHAnsi"/>
        </w:rPr>
        <w:t>6</w:t>
      </w:r>
      <w:r w:rsidR="009870D3">
        <w:rPr>
          <w:rFonts w:asciiTheme="minorHAnsi" w:hAnsiTheme="minorHAnsi"/>
        </w:rPr>
        <w:fldChar w:fldCharType="end"/>
      </w:r>
      <w:r w:rsidRPr="00C379C7">
        <w:rPr>
          <w:rFonts w:asciiTheme="minorHAnsi" w:hAnsiTheme="minorHAnsi"/>
        </w:rPr>
        <w:t xml:space="preserve">. </w:t>
      </w:r>
    </w:p>
  </w:footnote>
  <w:footnote w:id="18">
    <w:p w:rsidR="00A35C6A" w:rsidRPr="00C379C7" w:rsidRDefault="00A35C6A" w:rsidP="00A07FBF">
      <w:pPr>
        <w:pStyle w:val="FootnoteText"/>
        <w:spacing w:line="240" w:lineRule="auto"/>
        <w:jc w:val="left"/>
        <w:rPr>
          <w:rFonts w:asciiTheme="minorHAnsi" w:hAnsiTheme="minorHAnsi"/>
        </w:rPr>
      </w:pPr>
      <w:r w:rsidRPr="00C379C7">
        <w:rPr>
          <w:rStyle w:val="FootnoteReference"/>
          <w:rFonts w:asciiTheme="minorHAnsi" w:hAnsiTheme="minorHAnsi"/>
        </w:rPr>
        <w:footnoteRef/>
      </w:r>
      <w:r w:rsidRPr="00C379C7">
        <w:rPr>
          <w:rFonts w:asciiTheme="minorHAnsi" w:hAnsiTheme="minorHAnsi"/>
        </w:rPr>
        <w:t xml:space="preserve"> See e.g. Richmond, </w:t>
      </w:r>
      <w:r w:rsidR="009870D3">
        <w:rPr>
          <w:rFonts w:asciiTheme="minorHAnsi" w:hAnsiTheme="minorHAnsi"/>
        </w:rPr>
        <w:t xml:space="preserve">O., (2010), </w:t>
      </w:r>
      <w:r w:rsidRPr="00C379C7">
        <w:rPr>
          <w:rFonts w:asciiTheme="minorHAnsi" w:hAnsiTheme="minorHAnsi"/>
        </w:rPr>
        <w:t xml:space="preserve">‘Hybrid Peace: The Interaction </w:t>
      </w:r>
      <w:proofErr w:type="gramStart"/>
      <w:r w:rsidRPr="00C379C7">
        <w:rPr>
          <w:rFonts w:asciiTheme="minorHAnsi" w:hAnsiTheme="minorHAnsi"/>
        </w:rPr>
        <w:t>Between</w:t>
      </w:r>
      <w:proofErr w:type="gramEnd"/>
      <w:r w:rsidRPr="00C379C7">
        <w:rPr>
          <w:rFonts w:asciiTheme="minorHAnsi" w:hAnsiTheme="minorHAnsi"/>
        </w:rPr>
        <w:t xml:space="preserve"> Top-Down and Bottom-Up Peace’</w:t>
      </w:r>
      <w:r w:rsidR="009870D3">
        <w:rPr>
          <w:rFonts w:asciiTheme="minorHAnsi" w:hAnsiTheme="minorHAnsi"/>
        </w:rPr>
        <w:t>,</w:t>
      </w:r>
      <w:r w:rsidRPr="00C379C7">
        <w:rPr>
          <w:rFonts w:asciiTheme="minorHAnsi" w:hAnsiTheme="minorHAnsi"/>
        </w:rPr>
        <w:t xml:space="preserve"> </w:t>
      </w:r>
      <w:r w:rsidRPr="00C379C7">
        <w:rPr>
          <w:rFonts w:asciiTheme="minorHAnsi" w:hAnsiTheme="minorHAnsi"/>
          <w:i/>
        </w:rPr>
        <w:t>Security Dialogue</w:t>
      </w:r>
      <w:r w:rsidRPr="00C379C7">
        <w:rPr>
          <w:rFonts w:asciiTheme="minorHAnsi" w:hAnsiTheme="minorHAnsi"/>
        </w:rPr>
        <w:t xml:space="preserve"> 41(4), </w:t>
      </w:r>
      <w:r w:rsidR="009870D3">
        <w:rPr>
          <w:rFonts w:asciiTheme="minorHAnsi" w:hAnsiTheme="minorHAnsi"/>
        </w:rPr>
        <w:t xml:space="preserve">pp. </w:t>
      </w:r>
      <w:r w:rsidRPr="00C379C7">
        <w:rPr>
          <w:rFonts w:asciiTheme="minorHAnsi" w:hAnsiTheme="minorHAnsi"/>
        </w:rPr>
        <w:t>391-412.</w:t>
      </w:r>
    </w:p>
  </w:footnote>
  <w:footnote w:id="19">
    <w:p w:rsidR="00A35C6A" w:rsidRPr="00C379C7" w:rsidRDefault="00A35C6A" w:rsidP="00A07FBF">
      <w:pPr>
        <w:pStyle w:val="FootnoteText"/>
        <w:spacing w:line="240" w:lineRule="auto"/>
        <w:jc w:val="left"/>
        <w:rPr>
          <w:rFonts w:asciiTheme="minorHAnsi" w:hAnsiTheme="minorHAnsi"/>
        </w:rPr>
      </w:pPr>
      <w:r w:rsidRPr="00C379C7">
        <w:rPr>
          <w:rStyle w:val="FootnoteReference"/>
          <w:rFonts w:asciiTheme="minorHAnsi" w:hAnsiTheme="minorHAnsi"/>
        </w:rPr>
        <w:footnoteRef/>
      </w:r>
      <w:r w:rsidRPr="00C379C7">
        <w:rPr>
          <w:rFonts w:asciiTheme="minorHAnsi" w:hAnsiTheme="minorHAnsi"/>
        </w:rPr>
        <w:t xml:space="preserve"> See e.g. Clements, </w:t>
      </w:r>
      <w:r w:rsidR="000D4BC4">
        <w:rPr>
          <w:rFonts w:asciiTheme="minorHAnsi" w:hAnsiTheme="minorHAnsi"/>
        </w:rPr>
        <w:t xml:space="preserve">K.P., </w:t>
      </w:r>
      <w:r w:rsidRPr="00C379C7">
        <w:rPr>
          <w:rFonts w:asciiTheme="minorHAnsi" w:hAnsiTheme="minorHAnsi"/>
        </w:rPr>
        <w:t xml:space="preserve">B. Volker, A. Brown, W. Foley, &amp; and A. Nolan, </w:t>
      </w:r>
      <w:r w:rsidR="000D4BC4">
        <w:rPr>
          <w:rFonts w:asciiTheme="minorHAnsi" w:hAnsiTheme="minorHAnsi"/>
        </w:rPr>
        <w:t xml:space="preserve">(2007), </w:t>
      </w:r>
      <w:r w:rsidRPr="00C379C7">
        <w:rPr>
          <w:rFonts w:asciiTheme="minorHAnsi" w:hAnsiTheme="minorHAnsi"/>
        </w:rPr>
        <w:t>‘State Building Reconsidered: The Role of Hybridity in the Formation of Political Order’</w:t>
      </w:r>
      <w:r w:rsidR="000D4BC4">
        <w:rPr>
          <w:rFonts w:asciiTheme="minorHAnsi" w:hAnsiTheme="minorHAnsi"/>
        </w:rPr>
        <w:t>,</w:t>
      </w:r>
      <w:r w:rsidRPr="00C379C7">
        <w:rPr>
          <w:rFonts w:asciiTheme="minorHAnsi" w:hAnsiTheme="minorHAnsi"/>
        </w:rPr>
        <w:t xml:space="preserve"> </w:t>
      </w:r>
      <w:r w:rsidRPr="00C379C7">
        <w:rPr>
          <w:rFonts w:asciiTheme="minorHAnsi" w:hAnsiTheme="minorHAnsi"/>
          <w:i/>
        </w:rPr>
        <w:t>Political Science</w:t>
      </w:r>
      <w:r w:rsidRPr="00C379C7">
        <w:rPr>
          <w:rFonts w:asciiTheme="minorHAnsi" w:hAnsiTheme="minorHAnsi"/>
        </w:rPr>
        <w:t xml:space="preserve"> 59(1), </w:t>
      </w:r>
      <w:r w:rsidR="000D4BC4">
        <w:rPr>
          <w:rFonts w:asciiTheme="minorHAnsi" w:hAnsiTheme="minorHAnsi"/>
        </w:rPr>
        <w:t xml:space="preserve">pp. </w:t>
      </w:r>
      <w:r w:rsidRPr="00C379C7">
        <w:rPr>
          <w:rFonts w:asciiTheme="minorHAnsi" w:hAnsiTheme="minorHAnsi"/>
        </w:rPr>
        <w:t>45-56.</w:t>
      </w:r>
    </w:p>
  </w:footnote>
  <w:footnote w:id="20">
    <w:p w:rsidR="00A35C6A" w:rsidRPr="00C379C7" w:rsidRDefault="00A35C6A" w:rsidP="007B2F26">
      <w:pPr>
        <w:pStyle w:val="FootnoteText"/>
        <w:spacing w:line="240" w:lineRule="auto"/>
        <w:jc w:val="left"/>
        <w:rPr>
          <w:rFonts w:asciiTheme="minorHAnsi" w:hAnsiTheme="minorHAnsi"/>
        </w:rPr>
      </w:pPr>
      <w:r w:rsidRPr="00C379C7">
        <w:rPr>
          <w:rStyle w:val="FootnoteReference"/>
          <w:rFonts w:asciiTheme="minorHAnsi" w:hAnsiTheme="minorHAnsi"/>
        </w:rPr>
        <w:footnoteRef/>
      </w:r>
      <w:r w:rsidRPr="00C379C7">
        <w:rPr>
          <w:rFonts w:asciiTheme="minorHAnsi" w:hAnsiTheme="minorHAnsi"/>
        </w:rPr>
        <w:t xml:space="preserve"> See e.g. Martin-Ortega </w:t>
      </w:r>
      <w:r w:rsidR="000D4BC4">
        <w:rPr>
          <w:rFonts w:asciiTheme="minorHAnsi" w:hAnsiTheme="minorHAnsi"/>
        </w:rPr>
        <w:t xml:space="preserve">O. </w:t>
      </w:r>
      <w:r w:rsidRPr="00C379C7">
        <w:rPr>
          <w:rFonts w:asciiTheme="minorHAnsi" w:hAnsiTheme="minorHAnsi"/>
        </w:rPr>
        <w:t xml:space="preserve">&amp; J. Herman, </w:t>
      </w:r>
      <w:r w:rsidR="000D4BC4">
        <w:rPr>
          <w:rFonts w:asciiTheme="minorHAnsi" w:hAnsiTheme="minorHAnsi"/>
        </w:rPr>
        <w:t xml:space="preserve">(2012), </w:t>
      </w:r>
      <w:r w:rsidRPr="00C379C7">
        <w:rPr>
          <w:rFonts w:asciiTheme="minorHAnsi" w:hAnsiTheme="minorHAnsi"/>
        </w:rPr>
        <w:t xml:space="preserve">‘Hybrid Tribunals: interaction and resistance in Bosnia and Herzegovina and Cambodia’, in </w:t>
      </w:r>
      <w:r w:rsidR="000D4BC4">
        <w:rPr>
          <w:rFonts w:asciiTheme="minorHAnsi" w:hAnsiTheme="minorHAnsi"/>
        </w:rPr>
        <w:t xml:space="preserve">Richmond &amp; </w:t>
      </w:r>
      <w:r w:rsidRPr="00C379C7">
        <w:rPr>
          <w:rFonts w:asciiTheme="minorHAnsi" w:hAnsiTheme="minorHAnsi"/>
        </w:rPr>
        <w:t>Mitchell</w:t>
      </w:r>
      <w:r w:rsidR="000D4BC4">
        <w:rPr>
          <w:rFonts w:asciiTheme="minorHAnsi" w:hAnsiTheme="minorHAnsi"/>
        </w:rPr>
        <w:t xml:space="preserve">, </w:t>
      </w:r>
      <w:r w:rsidR="000D4BC4" w:rsidRPr="00C379C7">
        <w:rPr>
          <w:rFonts w:asciiTheme="minorHAnsi" w:hAnsiTheme="minorHAnsi"/>
        </w:rPr>
        <w:t>above n</w:t>
      </w:r>
      <w:r w:rsidR="000D4BC4">
        <w:rPr>
          <w:rFonts w:asciiTheme="minorHAnsi" w:hAnsiTheme="minorHAnsi"/>
        </w:rPr>
        <w:fldChar w:fldCharType="begin"/>
      </w:r>
      <w:r w:rsidR="000D4BC4">
        <w:rPr>
          <w:rFonts w:asciiTheme="minorHAnsi" w:hAnsiTheme="minorHAnsi"/>
        </w:rPr>
        <w:instrText xml:space="preserve"> NOTEREF _Ref375833554 \h </w:instrText>
      </w:r>
      <w:r w:rsidR="000D4BC4">
        <w:rPr>
          <w:rFonts w:asciiTheme="minorHAnsi" w:hAnsiTheme="minorHAnsi"/>
        </w:rPr>
      </w:r>
      <w:r w:rsidR="000D4BC4">
        <w:rPr>
          <w:rFonts w:asciiTheme="minorHAnsi" w:hAnsiTheme="minorHAnsi"/>
        </w:rPr>
        <w:fldChar w:fldCharType="separate"/>
      </w:r>
      <w:r w:rsidR="00512C5B">
        <w:rPr>
          <w:rFonts w:asciiTheme="minorHAnsi" w:hAnsiTheme="minorHAnsi"/>
        </w:rPr>
        <w:t>6</w:t>
      </w:r>
      <w:r w:rsidR="000D4BC4">
        <w:rPr>
          <w:rFonts w:asciiTheme="minorHAnsi" w:hAnsiTheme="minorHAnsi"/>
        </w:rPr>
        <w:fldChar w:fldCharType="end"/>
      </w:r>
      <w:r w:rsidR="000D4BC4" w:rsidRPr="00C379C7">
        <w:rPr>
          <w:rFonts w:asciiTheme="minorHAnsi" w:hAnsiTheme="minorHAnsi"/>
        </w:rPr>
        <w:t>.</w:t>
      </w:r>
    </w:p>
  </w:footnote>
  <w:footnote w:id="21">
    <w:p w:rsidR="00A35C6A" w:rsidRPr="00C379C7" w:rsidRDefault="00A35C6A" w:rsidP="007B2F26">
      <w:pPr>
        <w:pStyle w:val="FootnoteText"/>
        <w:spacing w:line="240" w:lineRule="auto"/>
        <w:rPr>
          <w:rFonts w:asciiTheme="minorHAnsi" w:hAnsiTheme="minorHAnsi"/>
        </w:rPr>
      </w:pPr>
      <w:r w:rsidRPr="00C379C7">
        <w:rPr>
          <w:rStyle w:val="FootnoteReference"/>
          <w:rFonts w:asciiTheme="minorHAnsi" w:hAnsiTheme="minorHAnsi"/>
        </w:rPr>
        <w:footnoteRef/>
      </w:r>
      <w:r w:rsidRPr="00C379C7">
        <w:rPr>
          <w:rFonts w:asciiTheme="minorHAnsi" w:hAnsiTheme="minorHAnsi"/>
        </w:rPr>
        <w:t xml:space="preserve"> See generally </w:t>
      </w:r>
      <w:proofErr w:type="spellStart"/>
      <w:r w:rsidR="007B2F26" w:rsidRPr="007B2F26">
        <w:rPr>
          <w:rFonts w:asciiTheme="minorHAnsi" w:hAnsiTheme="minorHAnsi"/>
        </w:rPr>
        <w:t>MacGinty</w:t>
      </w:r>
      <w:proofErr w:type="spellEnd"/>
      <w:r w:rsidR="007B2F26" w:rsidRPr="007B2F26">
        <w:rPr>
          <w:rFonts w:asciiTheme="minorHAnsi" w:hAnsiTheme="minorHAnsi"/>
        </w:rPr>
        <w:t xml:space="preserve">, </w:t>
      </w:r>
      <w:r w:rsidR="000D4BC4">
        <w:rPr>
          <w:rFonts w:asciiTheme="minorHAnsi" w:hAnsiTheme="minorHAnsi"/>
        </w:rPr>
        <w:t xml:space="preserve">R., (2011), </w:t>
      </w:r>
      <w:r w:rsidR="007B2F26" w:rsidRPr="007B2F26">
        <w:rPr>
          <w:rFonts w:asciiTheme="minorHAnsi" w:hAnsiTheme="minorHAnsi"/>
          <w:i/>
        </w:rPr>
        <w:t>International Peacebuilding and Local Resistance: Hybrid forms of peace</w:t>
      </w:r>
      <w:r w:rsidR="000D4BC4">
        <w:rPr>
          <w:rFonts w:asciiTheme="minorHAnsi" w:hAnsiTheme="minorHAnsi"/>
        </w:rPr>
        <w:t xml:space="preserve">, </w:t>
      </w:r>
      <w:r w:rsidR="000D4BC4">
        <w:rPr>
          <w:rFonts w:asciiTheme="minorHAnsi" w:hAnsiTheme="minorHAnsi"/>
        </w:rPr>
        <w:t>Basingstoke, UK and New York, US: Palgrave MacMillan</w:t>
      </w:r>
      <w:r w:rsidR="000D4BC4">
        <w:rPr>
          <w:rFonts w:asciiTheme="minorHAnsi" w:hAnsiTheme="minorHAnsi"/>
        </w:rPr>
        <w:t>.</w:t>
      </w:r>
    </w:p>
  </w:footnote>
  <w:footnote w:id="22">
    <w:p w:rsidR="00523CC8" w:rsidRPr="00523CC8" w:rsidRDefault="00523CC8" w:rsidP="00A07FBF">
      <w:pPr>
        <w:pStyle w:val="FootnoteText"/>
        <w:spacing w:line="240" w:lineRule="auto"/>
        <w:rPr>
          <w:b/>
        </w:rPr>
      </w:pPr>
      <w:r>
        <w:rPr>
          <w:rStyle w:val="FootnoteReference"/>
        </w:rPr>
        <w:footnoteRef/>
      </w:r>
      <w:r>
        <w:t xml:space="preserve"> </w:t>
      </w:r>
      <w:proofErr w:type="gramStart"/>
      <w:r w:rsidR="007B2F26">
        <w:t xml:space="preserve">Freedman, </w:t>
      </w:r>
      <w:r w:rsidR="007B2F26">
        <w:rPr>
          <w:i/>
        </w:rPr>
        <w:t xml:space="preserve">supra </w:t>
      </w:r>
      <w:r w:rsidR="007B2F26">
        <w:t xml:space="preserve">n </w:t>
      </w:r>
      <w:r w:rsidR="007B2F26">
        <w:fldChar w:fldCharType="begin"/>
      </w:r>
      <w:r w:rsidR="007B2F26">
        <w:instrText xml:space="preserve"> NOTEREF _Ref375723958 \h </w:instrText>
      </w:r>
      <w:r w:rsidR="007B2F26">
        <w:fldChar w:fldCharType="separate"/>
      </w:r>
      <w:r w:rsidR="00512C5B">
        <w:t>1</w:t>
      </w:r>
      <w:r w:rsidR="007B2F26">
        <w:fldChar w:fldCharType="end"/>
      </w:r>
      <w:r w:rsidR="007B2F26">
        <w:t>.</w:t>
      </w:r>
      <w:proofErr w:type="gramEnd"/>
      <w:r w:rsidR="007B2F26">
        <w:t xml:space="preserve"> </w:t>
      </w:r>
    </w:p>
  </w:footnote>
  <w:footnote w:id="23">
    <w:p w:rsidR="005D4BCE" w:rsidRPr="00CD6659" w:rsidRDefault="005D4BCE" w:rsidP="00A07FBF">
      <w:pPr>
        <w:pStyle w:val="FootnoteText"/>
        <w:spacing w:line="240" w:lineRule="auto"/>
        <w:rPr>
          <w:rFonts w:asciiTheme="minorHAnsi" w:hAnsiTheme="minorHAnsi"/>
        </w:rPr>
      </w:pPr>
      <w:r w:rsidRPr="00CD6659">
        <w:rPr>
          <w:rStyle w:val="FootnoteReference"/>
          <w:rFonts w:asciiTheme="minorHAnsi" w:hAnsiTheme="minorHAnsi"/>
        </w:rPr>
        <w:footnoteRef/>
      </w:r>
      <w:r w:rsidRPr="00CD6659">
        <w:rPr>
          <w:rFonts w:asciiTheme="minorHAnsi" w:hAnsiTheme="minorHAnsi"/>
        </w:rPr>
        <w:t xml:space="preserve"> See Section 4 (below)  </w:t>
      </w:r>
    </w:p>
  </w:footnote>
  <w:footnote w:id="24">
    <w:p w:rsidR="005D4BCE" w:rsidRPr="00CD6659" w:rsidRDefault="005D4BCE" w:rsidP="00A07FBF">
      <w:pPr>
        <w:pStyle w:val="FootnoteText"/>
        <w:spacing w:line="240" w:lineRule="auto"/>
        <w:rPr>
          <w:rFonts w:asciiTheme="minorHAnsi" w:hAnsiTheme="minorHAnsi"/>
        </w:rPr>
      </w:pPr>
      <w:r w:rsidRPr="00CD6659">
        <w:rPr>
          <w:rStyle w:val="FootnoteReference"/>
          <w:rFonts w:asciiTheme="minorHAnsi" w:hAnsiTheme="minorHAnsi"/>
        </w:rPr>
        <w:footnoteRef/>
      </w:r>
      <w:r w:rsidRPr="00CD6659">
        <w:rPr>
          <w:rFonts w:asciiTheme="minorHAnsi" w:hAnsiTheme="minorHAnsi"/>
        </w:rPr>
        <w:t xml:space="preserve"> See section 4 (below). </w:t>
      </w:r>
    </w:p>
  </w:footnote>
  <w:footnote w:id="25">
    <w:p w:rsidR="00B03F32" w:rsidRPr="00CD6659" w:rsidRDefault="00B03F32" w:rsidP="00A07FBF">
      <w:pPr>
        <w:pStyle w:val="FootnoteText"/>
        <w:spacing w:line="240" w:lineRule="auto"/>
        <w:rPr>
          <w:rFonts w:asciiTheme="minorHAnsi" w:hAnsiTheme="minorHAnsi"/>
        </w:rPr>
      </w:pPr>
      <w:r w:rsidRPr="00CD6659">
        <w:rPr>
          <w:rStyle w:val="FootnoteReference"/>
          <w:rFonts w:asciiTheme="minorHAnsi" w:hAnsiTheme="minorHAnsi"/>
        </w:rPr>
        <w:footnoteRef/>
      </w:r>
      <w:r w:rsidRPr="00CD6659">
        <w:rPr>
          <w:rFonts w:asciiTheme="minorHAnsi" w:hAnsiTheme="minorHAnsi"/>
        </w:rPr>
        <w:t xml:space="preserve"> </w:t>
      </w:r>
      <w:r w:rsidRPr="00CD6659">
        <w:rPr>
          <w:rFonts w:asciiTheme="minorHAnsi" w:hAnsiTheme="minorHAnsi"/>
          <w:i/>
        </w:rPr>
        <w:t>Ibid</w:t>
      </w:r>
      <w:r w:rsidRPr="00CD6659">
        <w:rPr>
          <w:rFonts w:asciiTheme="minorHAnsi" w:hAnsiTheme="minorHAnsi"/>
        </w:rPr>
        <w:t>.</w:t>
      </w:r>
    </w:p>
  </w:footnote>
  <w:footnote w:id="26">
    <w:p w:rsidR="005D4BCE" w:rsidRPr="00CD6659" w:rsidRDefault="005D4BCE" w:rsidP="00A07FBF">
      <w:pPr>
        <w:pStyle w:val="FootnoteText"/>
        <w:spacing w:line="240" w:lineRule="auto"/>
        <w:rPr>
          <w:rFonts w:asciiTheme="minorHAnsi" w:hAnsiTheme="minorHAnsi"/>
        </w:rPr>
      </w:pPr>
      <w:r w:rsidRPr="00CD6659">
        <w:rPr>
          <w:rStyle w:val="FootnoteReference"/>
          <w:rFonts w:asciiTheme="minorHAnsi" w:hAnsiTheme="minorHAnsi"/>
        </w:rPr>
        <w:footnoteRef/>
      </w:r>
      <w:r w:rsidRPr="00CD6659">
        <w:rPr>
          <w:rFonts w:asciiTheme="minorHAnsi" w:hAnsiTheme="minorHAnsi"/>
        </w:rPr>
        <w:t xml:space="preserve"> See generally R. Freedman,</w:t>
      </w:r>
      <w:r w:rsidR="009E6F68">
        <w:rPr>
          <w:rFonts w:asciiTheme="minorHAnsi" w:hAnsiTheme="minorHAnsi"/>
        </w:rPr>
        <w:t xml:space="preserve"> (2013),</w:t>
      </w:r>
      <w:r w:rsidRPr="00CD6659">
        <w:rPr>
          <w:rFonts w:asciiTheme="minorHAnsi" w:hAnsiTheme="minorHAnsi"/>
        </w:rPr>
        <w:t xml:space="preserve"> </w:t>
      </w:r>
      <w:r w:rsidRPr="00CD6659">
        <w:rPr>
          <w:rFonts w:asciiTheme="minorHAnsi" w:hAnsiTheme="minorHAnsi"/>
          <w:i/>
        </w:rPr>
        <w:t>The United Nations Human Rights Council: A critique and early assessment</w:t>
      </w:r>
      <w:r w:rsidRPr="00CD6659">
        <w:rPr>
          <w:rFonts w:asciiTheme="minorHAnsi" w:hAnsiTheme="minorHAnsi"/>
        </w:rPr>
        <w:t xml:space="preserve">, </w:t>
      </w:r>
      <w:r w:rsidR="009E6F68">
        <w:rPr>
          <w:rFonts w:asciiTheme="minorHAnsi" w:hAnsiTheme="minorHAnsi"/>
        </w:rPr>
        <w:t>Abingdon, UK and New York, US: Routledge,</w:t>
      </w:r>
      <w:r w:rsidR="009E6F68">
        <w:rPr>
          <w:rFonts w:asciiTheme="minorHAnsi" w:hAnsiTheme="minorHAnsi"/>
        </w:rPr>
        <w:t xml:space="preserve"> pp.</w:t>
      </w:r>
      <w:r w:rsidRPr="00CD6659">
        <w:rPr>
          <w:rFonts w:asciiTheme="minorHAnsi" w:hAnsiTheme="minorHAnsi"/>
        </w:rPr>
        <w:t xml:space="preserve"> 114-115.</w:t>
      </w:r>
    </w:p>
  </w:footnote>
  <w:footnote w:id="27">
    <w:p w:rsidR="007321AC" w:rsidRPr="00CD6659" w:rsidRDefault="007321AC" w:rsidP="00A07FBF">
      <w:pPr>
        <w:pStyle w:val="FootnoteText"/>
        <w:spacing w:line="240" w:lineRule="auto"/>
        <w:rPr>
          <w:rFonts w:asciiTheme="minorHAnsi" w:hAnsiTheme="minorHAnsi"/>
          <w:b/>
        </w:rPr>
      </w:pPr>
      <w:r w:rsidRPr="00CD6659">
        <w:rPr>
          <w:rStyle w:val="FootnoteReference"/>
          <w:rFonts w:asciiTheme="minorHAnsi" w:hAnsiTheme="minorHAnsi"/>
        </w:rPr>
        <w:footnoteRef/>
      </w:r>
      <w:r w:rsidRPr="00CD6659">
        <w:rPr>
          <w:rFonts w:asciiTheme="minorHAnsi" w:hAnsiTheme="minorHAnsi"/>
        </w:rPr>
        <w:t xml:space="preserve"> Examples include the Special Court for Sierra Leone and the Extraordinary Chambers in the Courts of Cambodia.</w:t>
      </w:r>
      <w:r w:rsidRPr="00CD6659">
        <w:rPr>
          <w:rFonts w:asciiTheme="minorHAnsi" w:hAnsiTheme="minorHAnsi"/>
          <w:b/>
        </w:rPr>
        <w:t xml:space="preserve"> </w:t>
      </w:r>
    </w:p>
  </w:footnote>
  <w:footnote w:id="28">
    <w:p w:rsidR="007321AC" w:rsidRPr="00CD6659" w:rsidRDefault="007321AC" w:rsidP="00A07FBF">
      <w:pPr>
        <w:pStyle w:val="FootnoteText"/>
        <w:spacing w:line="240" w:lineRule="auto"/>
        <w:rPr>
          <w:rFonts w:asciiTheme="minorHAnsi" w:hAnsiTheme="minorHAnsi"/>
        </w:rPr>
      </w:pPr>
      <w:r w:rsidRPr="00CD6659">
        <w:rPr>
          <w:rStyle w:val="FootnoteReference"/>
          <w:rFonts w:asciiTheme="minorHAnsi" w:hAnsiTheme="minorHAnsi"/>
        </w:rPr>
        <w:footnoteRef/>
      </w:r>
      <w:r w:rsidRPr="00CD6659">
        <w:rPr>
          <w:rFonts w:asciiTheme="minorHAnsi" w:hAnsiTheme="minorHAnsi"/>
        </w:rPr>
        <w:t xml:space="preserve"> Examples include the right to international solidarity and the right to a democratic and equitable international order.</w:t>
      </w:r>
    </w:p>
  </w:footnote>
  <w:footnote w:id="29">
    <w:p w:rsidR="002D1ED2" w:rsidRPr="00CD6659" w:rsidRDefault="002D1ED2" w:rsidP="00A07FBF">
      <w:pPr>
        <w:pStyle w:val="FootnoteText"/>
        <w:spacing w:line="240" w:lineRule="auto"/>
        <w:jc w:val="left"/>
        <w:rPr>
          <w:rFonts w:asciiTheme="minorHAnsi" w:hAnsiTheme="minorHAnsi"/>
        </w:rPr>
      </w:pPr>
      <w:r w:rsidRPr="00CD6659">
        <w:rPr>
          <w:rStyle w:val="FootnoteReference"/>
          <w:rFonts w:asciiTheme="minorHAnsi" w:hAnsiTheme="minorHAnsi"/>
        </w:rPr>
        <w:footnoteRef/>
      </w:r>
      <w:r w:rsidRPr="00CD6659">
        <w:rPr>
          <w:rFonts w:asciiTheme="minorHAnsi" w:hAnsiTheme="minorHAnsi"/>
        </w:rPr>
        <w:t xml:space="preserve"> </w:t>
      </w:r>
      <w:proofErr w:type="gramStart"/>
      <w:r w:rsidRPr="00CD6659">
        <w:rPr>
          <w:rFonts w:asciiTheme="minorHAnsi" w:hAnsiTheme="minorHAnsi"/>
        </w:rPr>
        <w:t>Said,</w:t>
      </w:r>
      <w:r w:rsidR="009E6F68">
        <w:rPr>
          <w:rFonts w:asciiTheme="minorHAnsi" w:hAnsiTheme="minorHAnsi"/>
        </w:rPr>
        <w:t xml:space="preserve"> E.,</w:t>
      </w:r>
      <w:r w:rsidRPr="00CD6659">
        <w:rPr>
          <w:rFonts w:asciiTheme="minorHAnsi" w:hAnsiTheme="minorHAnsi"/>
        </w:rPr>
        <w:t xml:space="preserve"> </w:t>
      </w:r>
      <w:r w:rsidR="009E6F68">
        <w:rPr>
          <w:rFonts w:asciiTheme="minorHAnsi" w:hAnsiTheme="minorHAnsi"/>
        </w:rPr>
        <w:t xml:space="preserve">(1993), </w:t>
      </w:r>
      <w:r w:rsidRPr="00CD6659">
        <w:rPr>
          <w:rFonts w:asciiTheme="minorHAnsi" w:hAnsiTheme="minorHAnsi"/>
          <w:i/>
        </w:rPr>
        <w:t>Culture and Imperialism</w:t>
      </w:r>
      <w:r w:rsidRPr="00CD6659">
        <w:rPr>
          <w:rFonts w:asciiTheme="minorHAnsi" w:hAnsiTheme="minorHAnsi"/>
        </w:rPr>
        <w:t>,</w:t>
      </w:r>
      <w:r w:rsidR="009E6F68">
        <w:rPr>
          <w:rFonts w:asciiTheme="minorHAnsi" w:hAnsiTheme="minorHAnsi"/>
        </w:rPr>
        <w:t xml:space="preserve"> London, UK: Vintage,</w:t>
      </w:r>
      <w:r w:rsidRPr="00CD6659">
        <w:rPr>
          <w:rFonts w:asciiTheme="minorHAnsi" w:hAnsiTheme="minorHAnsi"/>
        </w:rPr>
        <w:t xml:space="preserve"> </w:t>
      </w:r>
      <w:r w:rsidR="009E6F68">
        <w:rPr>
          <w:rFonts w:asciiTheme="minorHAnsi" w:hAnsiTheme="minorHAnsi"/>
        </w:rPr>
        <w:t xml:space="preserve">p. </w:t>
      </w:r>
      <w:r w:rsidRPr="00CD6659">
        <w:rPr>
          <w:rFonts w:asciiTheme="minorHAnsi" w:hAnsiTheme="minorHAnsi"/>
        </w:rPr>
        <w:t>317.</w:t>
      </w:r>
      <w:proofErr w:type="gramEnd"/>
    </w:p>
  </w:footnote>
  <w:footnote w:id="30">
    <w:p w:rsidR="002D1ED2" w:rsidRPr="00CD6659" w:rsidRDefault="002D1ED2" w:rsidP="00A07FBF">
      <w:pPr>
        <w:pStyle w:val="FootnoteText"/>
        <w:spacing w:line="240" w:lineRule="auto"/>
        <w:jc w:val="left"/>
        <w:rPr>
          <w:rFonts w:asciiTheme="minorHAnsi" w:hAnsiTheme="minorHAnsi"/>
        </w:rPr>
      </w:pPr>
      <w:r w:rsidRPr="00CD6659">
        <w:rPr>
          <w:rStyle w:val="FootnoteReference"/>
          <w:rFonts w:asciiTheme="minorHAnsi" w:hAnsiTheme="minorHAnsi"/>
        </w:rPr>
        <w:footnoteRef/>
      </w:r>
      <w:r w:rsidRPr="00CD6659">
        <w:rPr>
          <w:rFonts w:asciiTheme="minorHAnsi" w:hAnsiTheme="minorHAnsi"/>
        </w:rPr>
        <w:t xml:space="preserve"> See generally </w:t>
      </w:r>
      <w:proofErr w:type="spellStart"/>
      <w:r w:rsidRPr="00CD6659">
        <w:rPr>
          <w:rFonts w:asciiTheme="minorHAnsi" w:hAnsiTheme="minorHAnsi"/>
        </w:rPr>
        <w:t>Anghie</w:t>
      </w:r>
      <w:proofErr w:type="spellEnd"/>
      <w:r w:rsidRPr="00CD6659">
        <w:rPr>
          <w:rFonts w:asciiTheme="minorHAnsi" w:hAnsiTheme="minorHAnsi"/>
        </w:rPr>
        <w:t>,</w:t>
      </w:r>
      <w:r w:rsidR="009E6F68">
        <w:rPr>
          <w:rFonts w:asciiTheme="minorHAnsi" w:hAnsiTheme="minorHAnsi"/>
        </w:rPr>
        <w:t xml:space="preserve"> A., (2004),</w:t>
      </w:r>
      <w:r w:rsidRPr="00CD6659">
        <w:rPr>
          <w:rFonts w:asciiTheme="minorHAnsi" w:hAnsiTheme="minorHAnsi"/>
        </w:rPr>
        <w:t xml:space="preserve"> </w:t>
      </w:r>
      <w:r w:rsidRPr="00CD6659">
        <w:rPr>
          <w:rFonts w:asciiTheme="minorHAnsi" w:hAnsiTheme="minorHAnsi"/>
          <w:i/>
        </w:rPr>
        <w:t>Imperialism, Sovereignty and the Making of International Law</w:t>
      </w:r>
      <w:r w:rsidRPr="00CD6659">
        <w:rPr>
          <w:rFonts w:asciiTheme="minorHAnsi" w:hAnsiTheme="minorHAnsi"/>
        </w:rPr>
        <w:t xml:space="preserve">, </w:t>
      </w:r>
      <w:r w:rsidR="009E6F68">
        <w:rPr>
          <w:rFonts w:asciiTheme="minorHAnsi" w:hAnsiTheme="minorHAnsi"/>
        </w:rPr>
        <w:t>Cambridge, UK and New York, US: Cambridge University Press.</w:t>
      </w:r>
    </w:p>
  </w:footnote>
  <w:footnote w:id="31">
    <w:p w:rsidR="002D1ED2" w:rsidRPr="00CD6659" w:rsidRDefault="002D1ED2" w:rsidP="00A07FBF">
      <w:pPr>
        <w:pStyle w:val="FootnoteText"/>
        <w:spacing w:line="240" w:lineRule="auto"/>
        <w:jc w:val="left"/>
        <w:rPr>
          <w:rFonts w:asciiTheme="minorHAnsi" w:hAnsiTheme="minorHAnsi"/>
        </w:rPr>
      </w:pPr>
      <w:r w:rsidRPr="00CD6659">
        <w:rPr>
          <w:rStyle w:val="FootnoteReference"/>
          <w:rFonts w:asciiTheme="minorHAnsi" w:hAnsiTheme="minorHAnsi"/>
        </w:rPr>
        <w:footnoteRef/>
      </w:r>
      <w:r w:rsidRPr="00CD6659">
        <w:rPr>
          <w:rFonts w:asciiTheme="minorHAnsi" w:hAnsiTheme="minorHAnsi"/>
        </w:rPr>
        <w:t xml:space="preserve"> See generally Nowak, </w:t>
      </w:r>
      <w:r w:rsidR="009E6F68">
        <w:rPr>
          <w:rFonts w:asciiTheme="minorHAnsi" w:hAnsiTheme="minorHAnsi"/>
        </w:rPr>
        <w:t xml:space="preserve">M., </w:t>
      </w:r>
      <w:r w:rsidRPr="00CD6659">
        <w:rPr>
          <w:rFonts w:asciiTheme="minorHAnsi" w:hAnsiTheme="minorHAnsi"/>
        </w:rPr>
        <w:t xml:space="preserve">M. </w:t>
      </w:r>
      <w:proofErr w:type="spellStart"/>
      <w:r w:rsidRPr="00CD6659">
        <w:rPr>
          <w:rFonts w:asciiTheme="minorHAnsi" w:hAnsiTheme="minorHAnsi"/>
        </w:rPr>
        <w:t>Birk</w:t>
      </w:r>
      <w:proofErr w:type="spellEnd"/>
      <w:r w:rsidRPr="00CD6659">
        <w:rPr>
          <w:rFonts w:asciiTheme="minorHAnsi" w:hAnsiTheme="minorHAnsi"/>
        </w:rPr>
        <w:t xml:space="preserve">, T. </w:t>
      </w:r>
      <w:proofErr w:type="spellStart"/>
      <w:r w:rsidRPr="00CD6659">
        <w:rPr>
          <w:rFonts w:asciiTheme="minorHAnsi" w:hAnsiTheme="minorHAnsi"/>
        </w:rPr>
        <w:t>Crittin</w:t>
      </w:r>
      <w:proofErr w:type="spellEnd"/>
      <w:r w:rsidRPr="00CD6659">
        <w:rPr>
          <w:rFonts w:asciiTheme="minorHAnsi" w:hAnsiTheme="minorHAnsi"/>
        </w:rPr>
        <w:t xml:space="preserve"> &amp; J. </w:t>
      </w:r>
      <w:proofErr w:type="spellStart"/>
      <w:r w:rsidRPr="00CD6659">
        <w:rPr>
          <w:rFonts w:asciiTheme="minorHAnsi" w:hAnsiTheme="minorHAnsi"/>
        </w:rPr>
        <w:t>Kozma</w:t>
      </w:r>
      <w:proofErr w:type="spellEnd"/>
      <w:r w:rsidRPr="00CD6659">
        <w:rPr>
          <w:rFonts w:asciiTheme="minorHAnsi" w:hAnsiTheme="minorHAnsi"/>
        </w:rPr>
        <w:t>,</w:t>
      </w:r>
      <w:r w:rsidR="009E6F68">
        <w:rPr>
          <w:rFonts w:asciiTheme="minorHAnsi" w:hAnsiTheme="minorHAnsi"/>
        </w:rPr>
        <w:t xml:space="preserve"> (2011),</w:t>
      </w:r>
      <w:r w:rsidRPr="00CD6659">
        <w:rPr>
          <w:rFonts w:asciiTheme="minorHAnsi" w:hAnsiTheme="minorHAnsi"/>
        </w:rPr>
        <w:t xml:space="preserve"> ‘UN Human Rights Council in Crisis – Proposals to Enhance the Effectiveness of the Council’, in </w:t>
      </w:r>
      <w:proofErr w:type="spellStart"/>
      <w:r w:rsidR="009E6F68">
        <w:rPr>
          <w:rFonts w:asciiTheme="minorHAnsi" w:hAnsiTheme="minorHAnsi"/>
        </w:rPr>
        <w:t>Benedek</w:t>
      </w:r>
      <w:proofErr w:type="spellEnd"/>
      <w:r w:rsidR="009E6F68">
        <w:rPr>
          <w:rFonts w:asciiTheme="minorHAnsi" w:hAnsiTheme="minorHAnsi"/>
        </w:rPr>
        <w:t>, W., F. Benoit-Rohmer, W. Karl &amp; M. Nowak (</w:t>
      </w:r>
      <w:proofErr w:type="spellStart"/>
      <w:r w:rsidR="009E6F68">
        <w:rPr>
          <w:rFonts w:asciiTheme="minorHAnsi" w:hAnsiTheme="minorHAnsi"/>
        </w:rPr>
        <w:t>eds</w:t>
      </w:r>
      <w:proofErr w:type="spellEnd"/>
      <w:r w:rsidR="009E6F68">
        <w:rPr>
          <w:rFonts w:asciiTheme="minorHAnsi" w:hAnsiTheme="minorHAnsi"/>
        </w:rPr>
        <w:t xml:space="preserve">), </w:t>
      </w:r>
      <w:r w:rsidRPr="00CD6659">
        <w:rPr>
          <w:rFonts w:asciiTheme="minorHAnsi" w:hAnsiTheme="minorHAnsi"/>
          <w:i/>
        </w:rPr>
        <w:t>European Yearbook on Human Rights</w:t>
      </w:r>
      <w:r w:rsidR="009E6F68">
        <w:rPr>
          <w:rFonts w:asciiTheme="minorHAnsi" w:hAnsiTheme="minorHAnsi"/>
        </w:rPr>
        <w:t xml:space="preserve">, </w:t>
      </w:r>
      <w:proofErr w:type="spellStart"/>
      <w:r w:rsidR="009E6F68">
        <w:rPr>
          <w:rFonts w:asciiTheme="minorHAnsi" w:hAnsiTheme="minorHAnsi"/>
        </w:rPr>
        <w:t>Intersentia</w:t>
      </w:r>
      <w:proofErr w:type="spellEnd"/>
      <w:r w:rsidR="009E6F68">
        <w:rPr>
          <w:rFonts w:asciiTheme="minorHAnsi" w:hAnsiTheme="minorHAnsi"/>
        </w:rPr>
        <w:t>,</w:t>
      </w:r>
      <w:r w:rsidRPr="00CD6659">
        <w:rPr>
          <w:rFonts w:asciiTheme="minorHAnsi" w:hAnsiTheme="minorHAnsi"/>
          <w:i/>
        </w:rPr>
        <w:t xml:space="preserve"> </w:t>
      </w:r>
      <w:r w:rsidR="009E6F68">
        <w:rPr>
          <w:rFonts w:asciiTheme="minorHAnsi" w:hAnsiTheme="minorHAnsi"/>
        </w:rPr>
        <w:t xml:space="preserve">pp. </w:t>
      </w:r>
      <w:r w:rsidRPr="00CD6659">
        <w:rPr>
          <w:rFonts w:asciiTheme="minorHAnsi" w:hAnsiTheme="minorHAnsi"/>
        </w:rPr>
        <w:t xml:space="preserve">58-59. </w:t>
      </w:r>
    </w:p>
  </w:footnote>
  <w:footnote w:id="32">
    <w:p w:rsidR="002D1ED2" w:rsidRPr="00CD6659" w:rsidRDefault="002D1ED2" w:rsidP="00A07FBF">
      <w:pPr>
        <w:pStyle w:val="FootnoteText"/>
        <w:spacing w:line="240" w:lineRule="auto"/>
        <w:jc w:val="left"/>
        <w:rPr>
          <w:rFonts w:asciiTheme="minorHAnsi" w:hAnsiTheme="minorHAnsi"/>
        </w:rPr>
      </w:pPr>
      <w:r w:rsidRPr="00CD6659">
        <w:rPr>
          <w:rStyle w:val="FootnoteReference"/>
          <w:rFonts w:asciiTheme="minorHAnsi" w:hAnsiTheme="minorHAnsi"/>
        </w:rPr>
        <w:footnoteRef/>
      </w:r>
      <w:r w:rsidRPr="00CD6659">
        <w:rPr>
          <w:rFonts w:asciiTheme="minorHAnsi" w:hAnsiTheme="minorHAnsi"/>
        </w:rPr>
        <w:t xml:space="preserve"> </w:t>
      </w:r>
      <w:proofErr w:type="gramStart"/>
      <w:r w:rsidR="009E28EE">
        <w:rPr>
          <w:rFonts w:asciiTheme="minorHAnsi" w:hAnsiTheme="minorHAnsi"/>
          <w:color w:val="000000"/>
        </w:rPr>
        <w:t>GA Res</w:t>
      </w:r>
      <w:r w:rsidRPr="00CD6659">
        <w:rPr>
          <w:rFonts w:asciiTheme="minorHAnsi" w:hAnsiTheme="minorHAnsi"/>
          <w:color w:val="000000"/>
        </w:rPr>
        <w:t xml:space="preserve"> 217A (III), ‘Universal Declaration of Human Rights’, 1948, UN Doc.</w:t>
      </w:r>
      <w:proofErr w:type="gramEnd"/>
      <w:r w:rsidRPr="00CD6659">
        <w:rPr>
          <w:rFonts w:asciiTheme="minorHAnsi" w:hAnsiTheme="minorHAnsi"/>
          <w:color w:val="000000"/>
        </w:rPr>
        <w:t xml:space="preserve"> </w:t>
      </w:r>
      <w:proofErr w:type="gramStart"/>
      <w:r w:rsidRPr="00CD6659">
        <w:rPr>
          <w:rFonts w:asciiTheme="minorHAnsi" w:hAnsiTheme="minorHAnsi"/>
          <w:color w:val="000000"/>
        </w:rPr>
        <w:t>A/810, 71.</w:t>
      </w:r>
      <w:proofErr w:type="gramEnd"/>
    </w:p>
  </w:footnote>
  <w:footnote w:id="33">
    <w:p w:rsidR="002D1ED2" w:rsidRPr="00CD6659" w:rsidRDefault="002D1ED2" w:rsidP="00A07FBF">
      <w:pPr>
        <w:pStyle w:val="FootnoteText"/>
        <w:spacing w:line="240" w:lineRule="auto"/>
        <w:jc w:val="left"/>
        <w:rPr>
          <w:rFonts w:asciiTheme="minorHAnsi" w:hAnsiTheme="minorHAnsi"/>
          <w:b/>
        </w:rPr>
      </w:pPr>
      <w:r w:rsidRPr="00CD6659">
        <w:rPr>
          <w:rStyle w:val="FootnoteReference"/>
          <w:rFonts w:asciiTheme="minorHAnsi" w:hAnsiTheme="minorHAnsi"/>
        </w:rPr>
        <w:footnoteRef/>
      </w:r>
      <w:r w:rsidRPr="00CD6659">
        <w:rPr>
          <w:rFonts w:asciiTheme="minorHAnsi" w:hAnsiTheme="minorHAnsi"/>
        </w:rPr>
        <w:t xml:space="preserve"> NAM developed from the Asian-African Conference, a political gathering held in Bandung, Indonesia, in April 1955. The conference was convened in part due to frustration by many newly independent countries unable to secure UN membership due to Cold War politics. The two then-superpowers refused to admit states seen as belonging to the other camp.</w:t>
      </w:r>
    </w:p>
  </w:footnote>
  <w:footnote w:id="34">
    <w:p w:rsidR="002D1ED2" w:rsidRPr="00CD6659" w:rsidRDefault="002D1ED2" w:rsidP="00A07FBF">
      <w:pPr>
        <w:pStyle w:val="FootnoteText"/>
        <w:spacing w:line="240" w:lineRule="auto"/>
        <w:jc w:val="left"/>
        <w:rPr>
          <w:rFonts w:asciiTheme="minorHAnsi" w:hAnsiTheme="minorHAnsi"/>
        </w:rPr>
      </w:pPr>
      <w:r w:rsidRPr="00CD6659">
        <w:rPr>
          <w:rStyle w:val="FootnoteReference"/>
          <w:rFonts w:asciiTheme="minorHAnsi" w:hAnsiTheme="minorHAnsi"/>
        </w:rPr>
        <w:footnoteRef/>
      </w:r>
      <w:r w:rsidRPr="00CD6659">
        <w:rPr>
          <w:rFonts w:asciiTheme="minorHAnsi" w:hAnsiTheme="minorHAnsi"/>
        </w:rPr>
        <w:t xml:space="preserve"> See generally </w:t>
      </w:r>
      <w:proofErr w:type="spellStart"/>
      <w:r w:rsidRPr="00CD6659">
        <w:rPr>
          <w:rFonts w:asciiTheme="minorHAnsi" w:hAnsiTheme="minorHAnsi"/>
        </w:rPr>
        <w:t>Algan</w:t>
      </w:r>
      <w:proofErr w:type="spellEnd"/>
      <w:r w:rsidRPr="00CD6659">
        <w:rPr>
          <w:rFonts w:asciiTheme="minorHAnsi" w:hAnsiTheme="minorHAnsi"/>
        </w:rPr>
        <w:t xml:space="preserve">, </w:t>
      </w:r>
      <w:r w:rsidR="009E6F68">
        <w:rPr>
          <w:rFonts w:asciiTheme="minorHAnsi" w:hAnsiTheme="minorHAnsi"/>
        </w:rPr>
        <w:t xml:space="preserve">B., (2004), </w:t>
      </w:r>
      <w:r w:rsidRPr="00CD6659">
        <w:rPr>
          <w:rFonts w:asciiTheme="minorHAnsi" w:hAnsiTheme="minorHAnsi"/>
        </w:rPr>
        <w:t>‘Rethinking “Third Generation” Human Rights’</w:t>
      </w:r>
      <w:r w:rsidR="009E6F68">
        <w:rPr>
          <w:rFonts w:asciiTheme="minorHAnsi" w:hAnsiTheme="minorHAnsi"/>
        </w:rPr>
        <w:t>,</w:t>
      </w:r>
      <w:r w:rsidRPr="00CD6659">
        <w:rPr>
          <w:rFonts w:asciiTheme="minorHAnsi" w:hAnsiTheme="minorHAnsi"/>
        </w:rPr>
        <w:t xml:space="preserve"> </w:t>
      </w:r>
      <w:r w:rsidRPr="00CD6659">
        <w:rPr>
          <w:rFonts w:asciiTheme="minorHAnsi" w:hAnsiTheme="minorHAnsi"/>
          <w:i/>
        </w:rPr>
        <w:t>Ankara Law Review</w:t>
      </w:r>
      <w:r w:rsidRPr="00CD6659">
        <w:rPr>
          <w:rFonts w:asciiTheme="minorHAnsi" w:hAnsiTheme="minorHAnsi"/>
        </w:rPr>
        <w:t xml:space="preserve"> 1(1), </w:t>
      </w:r>
      <w:r w:rsidR="009E6F68">
        <w:rPr>
          <w:rFonts w:asciiTheme="minorHAnsi" w:hAnsiTheme="minorHAnsi"/>
        </w:rPr>
        <w:t xml:space="preserve">pp. </w:t>
      </w:r>
      <w:r w:rsidRPr="00CD6659">
        <w:rPr>
          <w:rFonts w:asciiTheme="minorHAnsi" w:hAnsiTheme="minorHAnsi"/>
        </w:rPr>
        <w:t>121-155.</w:t>
      </w:r>
    </w:p>
  </w:footnote>
  <w:footnote w:id="35">
    <w:p w:rsidR="002D1ED2" w:rsidRPr="00CD6659" w:rsidRDefault="002D1ED2" w:rsidP="00A07FBF">
      <w:pPr>
        <w:pStyle w:val="FootnoteText"/>
        <w:spacing w:line="240" w:lineRule="auto"/>
        <w:jc w:val="left"/>
        <w:rPr>
          <w:rFonts w:asciiTheme="minorHAnsi" w:hAnsiTheme="minorHAnsi"/>
        </w:rPr>
      </w:pPr>
      <w:r w:rsidRPr="00CD6659">
        <w:rPr>
          <w:rStyle w:val="FootnoteReference"/>
          <w:rFonts w:asciiTheme="minorHAnsi" w:hAnsiTheme="minorHAnsi"/>
        </w:rPr>
        <w:footnoteRef/>
      </w:r>
      <w:r w:rsidRPr="00CD6659">
        <w:rPr>
          <w:rFonts w:asciiTheme="minorHAnsi" w:hAnsiTheme="minorHAnsi"/>
          <w:lang w:val="es-ES_tradnl"/>
        </w:rPr>
        <w:t xml:space="preserve"> </w:t>
      </w:r>
      <w:r w:rsidRPr="00CD6659">
        <w:rPr>
          <w:rFonts w:asciiTheme="minorHAnsi" w:hAnsiTheme="minorHAnsi"/>
        </w:rPr>
        <w:t>See e.g.</w:t>
      </w:r>
      <w:r w:rsidR="009E6F68">
        <w:rPr>
          <w:rFonts w:asciiTheme="minorHAnsi" w:hAnsiTheme="minorHAnsi"/>
          <w:lang w:val="es-ES_tradnl"/>
        </w:rPr>
        <w:t xml:space="preserve"> </w:t>
      </w:r>
      <w:proofErr w:type="spellStart"/>
      <w:r w:rsidRPr="00CD6659">
        <w:rPr>
          <w:rFonts w:asciiTheme="minorHAnsi" w:hAnsiTheme="minorHAnsi"/>
          <w:lang w:val="es-ES_tradnl"/>
        </w:rPr>
        <w:t>Vasak</w:t>
      </w:r>
      <w:proofErr w:type="spellEnd"/>
      <w:r w:rsidRPr="00CD6659">
        <w:rPr>
          <w:rFonts w:asciiTheme="minorHAnsi" w:hAnsiTheme="minorHAnsi"/>
          <w:lang w:val="es-ES_tradnl"/>
        </w:rPr>
        <w:t xml:space="preserve"> </w:t>
      </w:r>
      <w:r w:rsidR="009E6F68">
        <w:rPr>
          <w:rFonts w:asciiTheme="minorHAnsi" w:hAnsiTheme="minorHAnsi"/>
          <w:lang w:val="es-ES_tradnl"/>
        </w:rPr>
        <w:t xml:space="preserve">K., (1990), </w:t>
      </w:r>
      <w:r w:rsidRPr="00CD6659">
        <w:rPr>
          <w:rFonts w:asciiTheme="minorHAnsi" w:hAnsiTheme="minorHAnsi"/>
          <w:lang w:val="es-ES_tradnl"/>
        </w:rPr>
        <w:t xml:space="preserve">‘Les </w:t>
      </w:r>
      <w:proofErr w:type="spellStart"/>
      <w:r w:rsidRPr="00CD6659">
        <w:rPr>
          <w:rFonts w:asciiTheme="minorHAnsi" w:hAnsiTheme="minorHAnsi"/>
          <w:lang w:val="es-ES_tradnl"/>
        </w:rPr>
        <w:t>différentes</w:t>
      </w:r>
      <w:proofErr w:type="spellEnd"/>
      <w:r w:rsidRPr="00CD6659">
        <w:rPr>
          <w:rFonts w:asciiTheme="minorHAnsi" w:hAnsiTheme="minorHAnsi"/>
          <w:lang w:val="es-ES_tradnl"/>
        </w:rPr>
        <w:t xml:space="preserve"> </w:t>
      </w:r>
      <w:proofErr w:type="spellStart"/>
      <w:r w:rsidRPr="00CD6659">
        <w:rPr>
          <w:rFonts w:asciiTheme="minorHAnsi" w:hAnsiTheme="minorHAnsi"/>
          <w:lang w:val="es-ES_tradnl"/>
        </w:rPr>
        <w:t>catégories</w:t>
      </w:r>
      <w:proofErr w:type="spellEnd"/>
      <w:r w:rsidRPr="00CD6659">
        <w:rPr>
          <w:rFonts w:asciiTheme="minorHAnsi" w:hAnsiTheme="minorHAnsi"/>
          <w:lang w:val="es-ES_tradnl"/>
        </w:rPr>
        <w:t xml:space="preserve"> des </w:t>
      </w:r>
      <w:proofErr w:type="spellStart"/>
      <w:r w:rsidRPr="00CD6659">
        <w:rPr>
          <w:rFonts w:asciiTheme="minorHAnsi" w:hAnsiTheme="minorHAnsi"/>
          <w:lang w:val="es-ES_tradnl"/>
        </w:rPr>
        <w:t>droits</w:t>
      </w:r>
      <w:proofErr w:type="spellEnd"/>
      <w:r w:rsidRPr="00CD6659">
        <w:rPr>
          <w:rFonts w:asciiTheme="minorHAnsi" w:hAnsiTheme="minorHAnsi"/>
          <w:lang w:val="es-ES_tradnl"/>
        </w:rPr>
        <w:t xml:space="preserve"> de </w:t>
      </w:r>
      <w:proofErr w:type="spellStart"/>
      <w:r w:rsidRPr="00CD6659">
        <w:rPr>
          <w:rFonts w:asciiTheme="minorHAnsi" w:hAnsiTheme="minorHAnsi"/>
          <w:lang w:val="es-ES_tradnl"/>
        </w:rPr>
        <w:t>l'homme</w:t>
      </w:r>
      <w:proofErr w:type="spellEnd"/>
      <w:r w:rsidRPr="00CD6659">
        <w:rPr>
          <w:rFonts w:asciiTheme="minorHAnsi" w:hAnsiTheme="minorHAnsi"/>
          <w:lang w:val="es-ES_tradnl"/>
        </w:rPr>
        <w:t xml:space="preserve">’ in </w:t>
      </w:r>
      <w:proofErr w:type="spellStart"/>
      <w:r w:rsidR="009E6F68">
        <w:rPr>
          <w:rFonts w:asciiTheme="minorHAnsi" w:hAnsiTheme="minorHAnsi"/>
        </w:rPr>
        <w:t>Lapeyre</w:t>
      </w:r>
      <w:proofErr w:type="spellEnd"/>
      <w:r w:rsidR="009E6F68">
        <w:rPr>
          <w:rFonts w:asciiTheme="minorHAnsi" w:hAnsiTheme="minorHAnsi"/>
        </w:rPr>
        <w:t xml:space="preserve"> </w:t>
      </w:r>
      <w:r w:rsidR="009E6F68">
        <w:rPr>
          <w:rFonts w:asciiTheme="minorHAnsi" w:hAnsiTheme="minorHAnsi"/>
        </w:rPr>
        <w:t xml:space="preserve">T. de &amp; </w:t>
      </w:r>
      <w:proofErr w:type="spellStart"/>
      <w:r w:rsidR="009E6F68">
        <w:rPr>
          <w:rFonts w:asciiTheme="minorHAnsi" w:hAnsiTheme="minorHAnsi"/>
        </w:rPr>
        <w:t>Vasak</w:t>
      </w:r>
      <w:proofErr w:type="spellEnd"/>
      <w:r w:rsidR="009E6F68">
        <w:rPr>
          <w:rFonts w:asciiTheme="minorHAnsi" w:hAnsiTheme="minorHAnsi"/>
        </w:rPr>
        <w:t>, K., (</w:t>
      </w:r>
      <w:proofErr w:type="spellStart"/>
      <w:proofErr w:type="gramStart"/>
      <w:r w:rsidR="009E6F68">
        <w:rPr>
          <w:rFonts w:asciiTheme="minorHAnsi" w:hAnsiTheme="minorHAnsi"/>
        </w:rPr>
        <w:t>eds</w:t>
      </w:r>
      <w:proofErr w:type="spellEnd"/>
      <w:proofErr w:type="gramEnd"/>
      <w:r w:rsidR="009E6F68">
        <w:rPr>
          <w:rFonts w:asciiTheme="minorHAnsi" w:hAnsiTheme="minorHAnsi"/>
        </w:rPr>
        <w:t>)</w:t>
      </w:r>
      <w:r w:rsidR="009E6F68">
        <w:rPr>
          <w:rFonts w:asciiTheme="minorHAnsi" w:hAnsiTheme="minorHAnsi"/>
        </w:rPr>
        <w:t xml:space="preserve">, </w:t>
      </w:r>
      <w:r w:rsidRPr="00CD6659">
        <w:rPr>
          <w:rFonts w:asciiTheme="minorHAnsi" w:hAnsiTheme="minorHAnsi"/>
          <w:i/>
          <w:lang w:val="es-ES_tradnl"/>
        </w:rPr>
        <w:t xml:space="preserve">Les </w:t>
      </w:r>
      <w:proofErr w:type="spellStart"/>
      <w:r w:rsidRPr="00CD6659">
        <w:rPr>
          <w:rFonts w:asciiTheme="minorHAnsi" w:hAnsiTheme="minorHAnsi"/>
          <w:i/>
          <w:lang w:val="es-ES_tradnl"/>
        </w:rPr>
        <w:t>dimensions</w:t>
      </w:r>
      <w:proofErr w:type="spellEnd"/>
      <w:r w:rsidRPr="00CD6659">
        <w:rPr>
          <w:rFonts w:asciiTheme="minorHAnsi" w:hAnsiTheme="minorHAnsi"/>
          <w:i/>
          <w:lang w:val="es-ES_tradnl"/>
        </w:rPr>
        <w:t xml:space="preserve"> </w:t>
      </w:r>
      <w:proofErr w:type="spellStart"/>
      <w:r w:rsidRPr="00CD6659">
        <w:rPr>
          <w:rFonts w:asciiTheme="minorHAnsi" w:hAnsiTheme="minorHAnsi"/>
          <w:i/>
          <w:lang w:val="es-ES_tradnl"/>
        </w:rPr>
        <w:t>universelles</w:t>
      </w:r>
      <w:proofErr w:type="spellEnd"/>
      <w:r w:rsidRPr="00CD6659">
        <w:rPr>
          <w:rFonts w:asciiTheme="minorHAnsi" w:hAnsiTheme="minorHAnsi"/>
          <w:i/>
          <w:lang w:val="es-ES_tradnl"/>
        </w:rPr>
        <w:t xml:space="preserve"> des </w:t>
      </w:r>
      <w:proofErr w:type="spellStart"/>
      <w:r w:rsidRPr="00CD6659">
        <w:rPr>
          <w:rFonts w:asciiTheme="minorHAnsi" w:hAnsiTheme="minorHAnsi"/>
          <w:i/>
          <w:lang w:val="es-ES_tradnl"/>
        </w:rPr>
        <w:t>droits</w:t>
      </w:r>
      <w:proofErr w:type="spellEnd"/>
      <w:r w:rsidRPr="00CD6659">
        <w:rPr>
          <w:rFonts w:asciiTheme="minorHAnsi" w:hAnsiTheme="minorHAnsi"/>
          <w:i/>
          <w:lang w:val="es-ES_tradnl"/>
        </w:rPr>
        <w:t xml:space="preserve"> de </w:t>
      </w:r>
      <w:proofErr w:type="spellStart"/>
      <w:r w:rsidRPr="00CD6659">
        <w:rPr>
          <w:rFonts w:asciiTheme="minorHAnsi" w:hAnsiTheme="minorHAnsi"/>
          <w:i/>
          <w:lang w:val="es-ES_tradnl"/>
        </w:rPr>
        <w:t>l'homme</w:t>
      </w:r>
      <w:proofErr w:type="spellEnd"/>
      <w:r w:rsidRPr="00CD6659">
        <w:rPr>
          <w:rFonts w:asciiTheme="minorHAnsi" w:hAnsiTheme="minorHAnsi"/>
        </w:rPr>
        <w:t xml:space="preserve">. Although Donnelly insists that </w:t>
      </w:r>
      <w:r w:rsidRPr="00CD6659">
        <w:rPr>
          <w:rFonts w:asciiTheme="minorHAnsi" w:hAnsiTheme="minorHAnsi"/>
          <w:i/>
        </w:rPr>
        <w:t>all</w:t>
      </w:r>
      <w:r w:rsidRPr="00CD6659">
        <w:rPr>
          <w:rFonts w:asciiTheme="minorHAnsi" w:hAnsiTheme="minorHAnsi"/>
        </w:rPr>
        <w:t xml:space="preserve"> human rights require col</w:t>
      </w:r>
      <w:r w:rsidR="009E6F68">
        <w:rPr>
          <w:rFonts w:asciiTheme="minorHAnsi" w:hAnsiTheme="minorHAnsi"/>
        </w:rPr>
        <w:t xml:space="preserve">lective action for realisation - </w:t>
      </w:r>
      <w:r w:rsidRPr="00CD6659">
        <w:rPr>
          <w:rFonts w:asciiTheme="minorHAnsi" w:hAnsiTheme="minorHAnsi"/>
        </w:rPr>
        <w:t xml:space="preserve">Donnelly, </w:t>
      </w:r>
      <w:r w:rsidR="009E6F68">
        <w:rPr>
          <w:rFonts w:asciiTheme="minorHAnsi" w:hAnsiTheme="minorHAnsi"/>
        </w:rPr>
        <w:t xml:space="preserve">J., (1985), </w:t>
      </w:r>
      <w:r w:rsidRPr="00CD6659">
        <w:rPr>
          <w:rFonts w:asciiTheme="minorHAnsi" w:hAnsiTheme="minorHAnsi"/>
        </w:rPr>
        <w:t>‘The Theology of the Right to Development: A Reply to Alston’</w:t>
      </w:r>
      <w:r w:rsidR="009E6F68">
        <w:rPr>
          <w:rFonts w:asciiTheme="minorHAnsi" w:hAnsiTheme="minorHAnsi"/>
        </w:rPr>
        <w:t>,</w:t>
      </w:r>
      <w:r w:rsidRPr="00CD6659">
        <w:rPr>
          <w:rFonts w:asciiTheme="minorHAnsi" w:hAnsiTheme="minorHAnsi"/>
        </w:rPr>
        <w:t xml:space="preserve"> </w:t>
      </w:r>
      <w:r w:rsidRPr="00CD6659">
        <w:rPr>
          <w:rFonts w:asciiTheme="minorHAnsi" w:hAnsiTheme="minorHAnsi"/>
          <w:i/>
        </w:rPr>
        <w:t>California Western International Law Journal</w:t>
      </w:r>
      <w:r w:rsidR="009E6F68">
        <w:rPr>
          <w:rFonts w:asciiTheme="minorHAnsi" w:hAnsiTheme="minorHAnsi"/>
        </w:rPr>
        <w:t xml:space="preserve"> 15, p. 521</w:t>
      </w:r>
      <w:r w:rsidRPr="00CD6659">
        <w:rPr>
          <w:rFonts w:asciiTheme="minorHAnsi" w:hAnsiTheme="minorHAnsi"/>
        </w:rPr>
        <w:t>.</w:t>
      </w:r>
    </w:p>
  </w:footnote>
  <w:footnote w:id="36">
    <w:p w:rsidR="002D1ED2" w:rsidRPr="00CD6659" w:rsidRDefault="002D1ED2" w:rsidP="00A07FBF">
      <w:pPr>
        <w:pStyle w:val="FootnoteText"/>
        <w:spacing w:line="240" w:lineRule="auto"/>
        <w:jc w:val="left"/>
        <w:rPr>
          <w:rFonts w:asciiTheme="minorHAnsi" w:hAnsiTheme="minorHAnsi"/>
          <w:b/>
        </w:rPr>
      </w:pPr>
      <w:r w:rsidRPr="00CD6659">
        <w:rPr>
          <w:rStyle w:val="FootnoteReference"/>
          <w:rFonts w:asciiTheme="minorHAnsi" w:hAnsiTheme="minorHAnsi"/>
        </w:rPr>
        <w:footnoteRef/>
      </w:r>
      <w:r w:rsidRPr="00CD6659">
        <w:rPr>
          <w:rFonts w:asciiTheme="minorHAnsi" w:hAnsiTheme="minorHAnsi"/>
        </w:rPr>
        <w:t xml:space="preserve"> See e.g. Weston, above n </w:t>
      </w:r>
      <w:r w:rsidRPr="00CD6659">
        <w:rPr>
          <w:rFonts w:asciiTheme="minorHAnsi" w:hAnsiTheme="minorHAnsi"/>
        </w:rPr>
        <w:fldChar w:fldCharType="begin"/>
      </w:r>
      <w:r w:rsidRPr="00CD6659">
        <w:rPr>
          <w:rFonts w:asciiTheme="minorHAnsi" w:hAnsiTheme="minorHAnsi"/>
        </w:rPr>
        <w:instrText xml:space="preserve"> NOTEREF _Ref354514761 \h  \* MERGEFORMAT </w:instrText>
      </w:r>
      <w:r w:rsidRPr="00CD6659">
        <w:rPr>
          <w:rFonts w:asciiTheme="minorHAnsi" w:hAnsiTheme="minorHAnsi"/>
        </w:rPr>
      </w:r>
      <w:r w:rsidRPr="00CD6659">
        <w:rPr>
          <w:rFonts w:asciiTheme="minorHAnsi" w:hAnsiTheme="minorHAnsi"/>
        </w:rPr>
        <w:fldChar w:fldCharType="separate"/>
      </w:r>
      <w:r w:rsidR="00512C5B">
        <w:rPr>
          <w:rFonts w:asciiTheme="minorHAnsi" w:hAnsiTheme="minorHAnsi"/>
        </w:rPr>
        <w:t>2</w:t>
      </w:r>
      <w:r w:rsidRPr="00CD6659">
        <w:rPr>
          <w:rFonts w:asciiTheme="minorHAnsi" w:hAnsiTheme="minorHAnsi"/>
        </w:rPr>
        <w:fldChar w:fldCharType="end"/>
      </w:r>
      <w:r w:rsidRPr="00CD6659">
        <w:rPr>
          <w:rFonts w:asciiTheme="minorHAnsi" w:hAnsiTheme="minorHAnsi"/>
        </w:rPr>
        <w:t>.</w:t>
      </w:r>
    </w:p>
  </w:footnote>
  <w:footnote w:id="37">
    <w:p w:rsidR="002D1ED2" w:rsidRPr="00CD6659" w:rsidRDefault="002D1ED2" w:rsidP="00A07FBF">
      <w:pPr>
        <w:pStyle w:val="FootnoteText"/>
        <w:spacing w:line="240" w:lineRule="auto"/>
        <w:rPr>
          <w:rFonts w:asciiTheme="minorHAnsi" w:hAnsiTheme="minorHAnsi"/>
        </w:rPr>
      </w:pPr>
      <w:r w:rsidRPr="00CD6659">
        <w:rPr>
          <w:rStyle w:val="FootnoteReference"/>
          <w:rFonts w:asciiTheme="minorHAnsi" w:hAnsiTheme="minorHAnsi"/>
        </w:rPr>
        <w:footnoteRef/>
      </w:r>
      <w:r w:rsidRPr="00CD6659">
        <w:rPr>
          <w:rFonts w:asciiTheme="minorHAnsi" w:hAnsiTheme="minorHAnsi"/>
        </w:rPr>
        <w:t xml:space="preserve"> </w:t>
      </w:r>
      <w:proofErr w:type="spellStart"/>
      <w:r w:rsidRPr="00CD6659">
        <w:rPr>
          <w:rFonts w:asciiTheme="minorHAnsi" w:eastAsia="ヒラギノ角ゴ Pro W3" w:hAnsiTheme="minorHAnsi"/>
          <w:color w:val="000000"/>
        </w:rPr>
        <w:t>Vasak</w:t>
      </w:r>
      <w:proofErr w:type="spellEnd"/>
      <w:r w:rsidRPr="00CD6659">
        <w:rPr>
          <w:rFonts w:asciiTheme="minorHAnsi" w:eastAsia="ヒラギノ角ゴ Pro W3" w:hAnsiTheme="minorHAnsi"/>
          <w:color w:val="000000"/>
        </w:rPr>
        <w:t>,</w:t>
      </w:r>
      <w:r w:rsidR="009E6F68">
        <w:rPr>
          <w:rFonts w:asciiTheme="minorHAnsi" w:eastAsia="ヒラギノ角ゴ Pro W3" w:hAnsiTheme="minorHAnsi"/>
          <w:color w:val="000000"/>
        </w:rPr>
        <w:t xml:space="preserve"> K., (1982),</w:t>
      </w:r>
      <w:r w:rsidRPr="00CD6659">
        <w:rPr>
          <w:rFonts w:asciiTheme="minorHAnsi" w:eastAsia="ヒラギノ角ゴ Pro W3" w:hAnsiTheme="minorHAnsi"/>
          <w:color w:val="000000"/>
        </w:rPr>
        <w:t xml:space="preserve"> </w:t>
      </w:r>
      <w:proofErr w:type="gramStart"/>
      <w:r w:rsidRPr="00CD6659">
        <w:rPr>
          <w:rFonts w:asciiTheme="minorHAnsi" w:eastAsia="ヒラギノ角ゴ Pro W3" w:hAnsiTheme="minorHAnsi"/>
          <w:i/>
          <w:color w:val="000000"/>
        </w:rPr>
        <w:t>The</w:t>
      </w:r>
      <w:proofErr w:type="gramEnd"/>
      <w:r w:rsidRPr="00CD6659">
        <w:rPr>
          <w:rFonts w:asciiTheme="minorHAnsi" w:eastAsia="ヒラギノ角ゴ Pro W3" w:hAnsiTheme="minorHAnsi"/>
          <w:i/>
          <w:color w:val="000000"/>
        </w:rPr>
        <w:t xml:space="preserve"> International Dimensions of Human Rights</w:t>
      </w:r>
      <w:r w:rsidRPr="00CD6659">
        <w:rPr>
          <w:rFonts w:asciiTheme="minorHAnsi" w:eastAsia="ヒラギノ角ゴ Pro W3" w:hAnsiTheme="minorHAnsi"/>
          <w:color w:val="000000"/>
        </w:rPr>
        <w:t>,</w:t>
      </w:r>
      <w:r w:rsidR="009E6F68">
        <w:rPr>
          <w:rFonts w:asciiTheme="minorHAnsi" w:eastAsia="ヒラギノ角ゴ Pro W3" w:hAnsiTheme="minorHAnsi"/>
          <w:color w:val="000000"/>
        </w:rPr>
        <w:t xml:space="preserve"> Greenwood Press.</w:t>
      </w:r>
      <w:r w:rsidRPr="00CD6659">
        <w:rPr>
          <w:rFonts w:asciiTheme="minorHAnsi" w:eastAsia="ヒラギノ角ゴ Pro W3" w:hAnsiTheme="minorHAnsi"/>
          <w:color w:val="000000"/>
        </w:rPr>
        <w:t xml:space="preserve"> </w:t>
      </w:r>
    </w:p>
  </w:footnote>
  <w:footnote w:id="38">
    <w:p w:rsidR="002D1ED2" w:rsidRPr="00CD6659" w:rsidRDefault="002D1ED2" w:rsidP="00A07FBF">
      <w:pPr>
        <w:pStyle w:val="FootnoteText"/>
        <w:spacing w:line="240" w:lineRule="auto"/>
        <w:jc w:val="left"/>
        <w:rPr>
          <w:rFonts w:asciiTheme="minorHAnsi" w:hAnsiTheme="minorHAnsi"/>
        </w:rPr>
      </w:pPr>
      <w:r w:rsidRPr="00CD6659">
        <w:rPr>
          <w:rStyle w:val="FootnoteReference"/>
          <w:rFonts w:asciiTheme="minorHAnsi" w:hAnsiTheme="minorHAnsi"/>
        </w:rPr>
        <w:footnoteRef/>
      </w:r>
      <w:r w:rsidR="009E6F68">
        <w:rPr>
          <w:rFonts w:asciiTheme="minorHAnsi" w:hAnsiTheme="minorHAnsi"/>
        </w:rPr>
        <w:t xml:space="preserve"> See generally </w:t>
      </w:r>
      <w:proofErr w:type="spellStart"/>
      <w:r w:rsidRPr="00CD6659">
        <w:rPr>
          <w:rFonts w:asciiTheme="minorHAnsi" w:hAnsiTheme="minorHAnsi"/>
        </w:rPr>
        <w:t>Memmi</w:t>
      </w:r>
      <w:proofErr w:type="spellEnd"/>
      <w:r w:rsidRPr="00CD6659">
        <w:rPr>
          <w:rFonts w:asciiTheme="minorHAnsi" w:hAnsiTheme="minorHAnsi"/>
        </w:rPr>
        <w:t>,</w:t>
      </w:r>
      <w:r w:rsidR="009E6F68">
        <w:rPr>
          <w:rFonts w:asciiTheme="minorHAnsi" w:hAnsiTheme="minorHAnsi"/>
        </w:rPr>
        <w:t xml:space="preserve"> A.,</w:t>
      </w:r>
      <w:r w:rsidRPr="00CD6659">
        <w:rPr>
          <w:rFonts w:asciiTheme="minorHAnsi" w:hAnsiTheme="minorHAnsi"/>
        </w:rPr>
        <w:t xml:space="preserve"> </w:t>
      </w:r>
      <w:r w:rsidR="009E6F68">
        <w:rPr>
          <w:rFonts w:asciiTheme="minorHAnsi" w:hAnsiTheme="minorHAnsi"/>
        </w:rPr>
        <w:t xml:space="preserve">(2013), </w:t>
      </w:r>
      <w:r w:rsidRPr="00CD6659">
        <w:rPr>
          <w:rFonts w:asciiTheme="minorHAnsi" w:hAnsiTheme="minorHAnsi"/>
          <w:i/>
        </w:rPr>
        <w:t>The Colonizer and the Colonized</w:t>
      </w:r>
      <w:r w:rsidRPr="00CD6659">
        <w:rPr>
          <w:rFonts w:asciiTheme="minorHAnsi" w:hAnsiTheme="minorHAnsi"/>
        </w:rPr>
        <w:t xml:space="preserve">, </w:t>
      </w:r>
      <w:r w:rsidR="009E6F68">
        <w:rPr>
          <w:rFonts w:asciiTheme="minorHAnsi" w:hAnsiTheme="minorHAnsi"/>
        </w:rPr>
        <w:t>Abingdon, UK and New York, US: Taylor &amp; Francis (first published in English in 1957).</w:t>
      </w:r>
    </w:p>
  </w:footnote>
  <w:footnote w:id="39">
    <w:p w:rsidR="002D1ED2" w:rsidRPr="00CD6659" w:rsidRDefault="002D1ED2" w:rsidP="00A07FBF">
      <w:pPr>
        <w:pStyle w:val="FootnoteText"/>
        <w:spacing w:line="240" w:lineRule="auto"/>
        <w:jc w:val="left"/>
        <w:rPr>
          <w:rFonts w:asciiTheme="minorHAnsi" w:hAnsiTheme="minorHAnsi"/>
        </w:rPr>
      </w:pPr>
      <w:r w:rsidRPr="00CD6659">
        <w:rPr>
          <w:rStyle w:val="FootnoteReference"/>
          <w:rFonts w:asciiTheme="minorHAnsi" w:hAnsiTheme="minorHAnsi"/>
        </w:rPr>
        <w:footnoteRef/>
      </w:r>
      <w:r w:rsidRPr="00CD6659">
        <w:rPr>
          <w:rFonts w:asciiTheme="minorHAnsi" w:hAnsiTheme="minorHAnsi"/>
        </w:rPr>
        <w:t xml:space="preserve"> See generally Fanon, </w:t>
      </w:r>
      <w:r w:rsidR="009E6F68">
        <w:rPr>
          <w:rFonts w:asciiTheme="minorHAnsi" w:hAnsiTheme="minorHAnsi"/>
        </w:rPr>
        <w:t xml:space="preserve">F., (1986), </w:t>
      </w:r>
      <w:r w:rsidRPr="00CD6659">
        <w:rPr>
          <w:rFonts w:asciiTheme="minorHAnsi" w:hAnsiTheme="minorHAnsi"/>
          <w:i/>
        </w:rPr>
        <w:t>Black Skin, White Masks</w:t>
      </w:r>
      <w:r w:rsidR="009E6F68">
        <w:rPr>
          <w:rFonts w:asciiTheme="minorHAnsi" w:hAnsiTheme="minorHAnsi"/>
        </w:rPr>
        <w:t>, London, UK: Pluto Press,</w:t>
      </w:r>
      <w:r w:rsidRPr="00CD6659">
        <w:rPr>
          <w:rFonts w:asciiTheme="minorHAnsi" w:hAnsiTheme="minorHAnsi"/>
        </w:rPr>
        <w:t xml:space="preserve"> (</w:t>
      </w:r>
      <w:r w:rsidR="009E6F68">
        <w:rPr>
          <w:rFonts w:asciiTheme="minorHAnsi" w:hAnsiTheme="minorHAnsi"/>
        </w:rPr>
        <w:t xml:space="preserve">first published in </w:t>
      </w:r>
      <w:r w:rsidR="009E28EE">
        <w:rPr>
          <w:rFonts w:asciiTheme="minorHAnsi" w:hAnsiTheme="minorHAnsi"/>
        </w:rPr>
        <w:t xml:space="preserve">French in </w:t>
      </w:r>
      <w:r w:rsidRPr="00CD6659">
        <w:rPr>
          <w:rFonts w:asciiTheme="minorHAnsi" w:hAnsiTheme="minorHAnsi"/>
        </w:rPr>
        <w:t>1952</w:t>
      </w:r>
      <w:r w:rsidR="009E28EE">
        <w:rPr>
          <w:rFonts w:asciiTheme="minorHAnsi" w:hAnsiTheme="minorHAnsi"/>
        </w:rPr>
        <w:t xml:space="preserve"> and in English 1967); and </w:t>
      </w:r>
      <w:r w:rsidRPr="00CD6659">
        <w:rPr>
          <w:rFonts w:asciiTheme="minorHAnsi" w:hAnsiTheme="minorHAnsi"/>
        </w:rPr>
        <w:t xml:space="preserve">Fanon, </w:t>
      </w:r>
      <w:r w:rsidR="009E28EE">
        <w:rPr>
          <w:rFonts w:asciiTheme="minorHAnsi" w:hAnsiTheme="minorHAnsi"/>
        </w:rPr>
        <w:t xml:space="preserve">F., (1965), </w:t>
      </w:r>
      <w:r w:rsidRPr="00CD6659">
        <w:rPr>
          <w:rFonts w:asciiTheme="minorHAnsi" w:hAnsiTheme="minorHAnsi"/>
          <w:i/>
        </w:rPr>
        <w:t>The Wretched of the Earth</w:t>
      </w:r>
      <w:r w:rsidRPr="00CD6659">
        <w:rPr>
          <w:rFonts w:asciiTheme="minorHAnsi" w:hAnsiTheme="minorHAnsi"/>
        </w:rPr>
        <w:t xml:space="preserve">, </w:t>
      </w:r>
      <w:r w:rsidR="009E28EE">
        <w:rPr>
          <w:rFonts w:asciiTheme="minorHAnsi" w:hAnsiTheme="minorHAnsi"/>
        </w:rPr>
        <w:t>Grove Press.</w:t>
      </w:r>
    </w:p>
  </w:footnote>
  <w:footnote w:id="40">
    <w:p w:rsidR="002D1ED2" w:rsidRPr="00CD6659" w:rsidRDefault="002D1ED2" w:rsidP="00A07FBF">
      <w:pPr>
        <w:pStyle w:val="FootnoteText"/>
        <w:spacing w:line="240" w:lineRule="auto"/>
        <w:jc w:val="left"/>
        <w:rPr>
          <w:rFonts w:asciiTheme="minorHAnsi" w:hAnsiTheme="minorHAnsi"/>
        </w:rPr>
      </w:pPr>
      <w:r w:rsidRPr="00CD6659">
        <w:rPr>
          <w:rStyle w:val="FootnoteReference"/>
          <w:rFonts w:asciiTheme="minorHAnsi" w:hAnsiTheme="minorHAnsi"/>
        </w:rPr>
        <w:footnoteRef/>
      </w:r>
      <w:r w:rsidRPr="00CD6659">
        <w:rPr>
          <w:rFonts w:asciiTheme="minorHAnsi" w:hAnsiTheme="minorHAnsi"/>
        </w:rPr>
        <w:t xml:space="preserve"> With roots in the US and French Declarations of Independence, as well as the UN Charter and core human rights treaties.</w:t>
      </w:r>
      <w:r w:rsidRPr="00CD6659">
        <w:rPr>
          <w:rFonts w:asciiTheme="minorHAnsi" w:hAnsiTheme="minorHAnsi"/>
          <w:highlight w:val="yellow"/>
        </w:rPr>
        <w:t xml:space="preserve"> </w:t>
      </w:r>
    </w:p>
  </w:footnote>
  <w:footnote w:id="41">
    <w:p w:rsidR="002D1ED2" w:rsidRPr="00CD6659" w:rsidRDefault="002D1ED2" w:rsidP="00A07FBF">
      <w:pPr>
        <w:pStyle w:val="FootnoteText1"/>
        <w:rPr>
          <w:rFonts w:asciiTheme="minorHAnsi" w:eastAsia="Times New Roman" w:hAnsiTheme="minorHAnsi"/>
          <w:b/>
          <w:color w:val="auto"/>
          <w:lang w:val="en-GB"/>
        </w:rPr>
      </w:pPr>
      <w:r w:rsidRPr="00CD6659">
        <w:rPr>
          <w:rFonts w:asciiTheme="minorHAnsi" w:hAnsiTheme="minorHAnsi"/>
          <w:vertAlign w:val="superscript"/>
        </w:rPr>
        <w:footnoteRef/>
      </w:r>
      <w:r w:rsidRPr="00CD6659">
        <w:rPr>
          <w:rFonts w:asciiTheme="minorHAnsi" w:hAnsiTheme="minorHAnsi"/>
        </w:rPr>
        <w:t xml:space="preserve"> See e.g. GA Res 41/128, ‘Declaration on the Right to Development’, 4 December 1986, UN Doc. </w:t>
      </w:r>
      <w:proofErr w:type="gramStart"/>
      <w:r w:rsidRPr="00CD6659">
        <w:rPr>
          <w:rFonts w:asciiTheme="minorHAnsi" w:hAnsiTheme="minorHAnsi"/>
        </w:rPr>
        <w:t>A/RES/41/128.</w:t>
      </w:r>
      <w:proofErr w:type="gramEnd"/>
      <w:r w:rsidRPr="00CD6659">
        <w:rPr>
          <w:rFonts w:asciiTheme="minorHAnsi" w:hAnsiTheme="minorHAnsi"/>
        </w:rPr>
        <w:t xml:space="preserve"> </w:t>
      </w:r>
    </w:p>
  </w:footnote>
  <w:footnote w:id="42">
    <w:p w:rsidR="002D1ED2" w:rsidRPr="00CD6659" w:rsidRDefault="002D1ED2" w:rsidP="00A07FBF">
      <w:pPr>
        <w:pStyle w:val="FootnoteText1"/>
        <w:rPr>
          <w:rFonts w:asciiTheme="minorHAnsi" w:eastAsia="Times New Roman" w:hAnsiTheme="minorHAnsi"/>
          <w:color w:val="auto"/>
          <w:lang w:val="en-GB"/>
        </w:rPr>
      </w:pPr>
      <w:r w:rsidRPr="00CD6659">
        <w:rPr>
          <w:rFonts w:asciiTheme="minorHAnsi" w:hAnsiTheme="minorHAnsi"/>
          <w:vertAlign w:val="superscript"/>
        </w:rPr>
        <w:footnoteRef/>
      </w:r>
      <w:r w:rsidRPr="00CD6659">
        <w:rPr>
          <w:rFonts w:asciiTheme="minorHAnsi" w:hAnsiTheme="minorHAnsi"/>
        </w:rPr>
        <w:t xml:space="preserve"> See e.g. UNESCO 17</w:t>
      </w:r>
      <w:r w:rsidRPr="00CD6659">
        <w:rPr>
          <w:rFonts w:asciiTheme="minorHAnsi" w:hAnsiTheme="minorHAnsi"/>
          <w:vertAlign w:val="superscript"/>
        </w:rPr>
        <w:t>th</w:t>
      </w:r>
      <w:r w:rsidRPr="00CD6659">
        <w:rPr>
          <w:rFonts w:asciiTheme="minorHAnsi" w:hAnsiTheme="minorHAnsi"/>
        </w:rPr>
        <w:t xml:space="preserve"> Session, ‘Convention Concerning the Protection of World Cultural and Natural Heritage’, 16 November 1972, 1037 UNTS 151.</w:t>
      </w:r>
    </w:p>
  </w:footnote>
  <w:footnote w:id="43">
    <w:p w:rsidR="002D1ED2" w:rsidRPr="00CD6659" w:rsidRDefault="002D1ED2" w:rsidP="00A07FBF">
      <w:pPr>
        <w:pStyle w:val="FootnoteText"/>
        <w:spacing w:line="240" w:lineRule="auto"/>
        <w:rPr>
          <w:rFonts w:asciiTheme="minorHAnsi" w:hAnsiTheme="minorHAnsi"/>
          <w:b/>
          <w:lang w:val="es-ES_tradnl"/>
        </w:rPr>
      </w:pPr>
      <w:r w:rsidRPr="00CD6659">
        <w:rPr>
          <w:rStyle w:val="FootnoteReference"/>
          <w:rFonts w:asciiTheme="minorHAnsi" w:hAnsiTheme="minorHAnsi"/>
        </w:rPr>
        <w:footnoteRef/>
      </w:r>
      <w:r w:rsidRPr="00CD6659">
        <w:rPr>
          <w:rFonts w:asciiTheme="minorHAnsi" w:hAnsiTheme="minorHAnsi"/>
          <w:lang w:val="es-ES_tradnl"/>
        </w:rPr>
        <w:t xml:space="preserve"> </w:t>
      </w:r>
      <w:r w:rsidRPr="00CD6659">
        <w:rPr>
          <w:rFonts w:asciiTheme="minorHAnsi" w:hAnsiTheme="minorHAnsi"/>
        </w:rPr>
        <w:t>See generally</w:t>
      </w:r>
      <w:r w:rsidRPr="00CD6659">
        <w:rPr>
          <w:rFonts w:asciiTheme="minorHAnsi" w:hAnsiTheme="minorHAnsi"/>
          <w:lang w:val="es-ES_tradnl"/>
        </w:rPr>
        <w:t xml:space="preserve"> </w:t>
      </w:r>
      <w:proofErr w:type="spellStart"/>
      <w:r w:rsidRPr="00CD6659">
        <w:rPr>
          <w:rFonts w:asciiTheme="minorHAnsi" w:hAnsiTheme="minorHAnsi"/>
          <w:lang w:val="es-ES_tradnl"/>
        </w:rPr>
        <w:t>Anghie</w:t>
      </w:r>
      <w:proofErr w:type="spellEnd"/>
      <w:r w:rsidRPr="00CD6659">
        <w:rPr>
          <w:rFonts w:asciiTheme="minorHAnsi" w:hAnsiTheme="minorHAnsi"/>
          <w:lang w:val="es-ES_tradnl"/>
        </w:rPr>
        <w:t xml:space="preserve">, </w:t>
      </w:r>
      <w:r w:rsidRPr="00CD6659">
        <w:rPr>
          <w:rFonts w:asciiTheme="minorHAnsi" w:hAnsiTheme="minorHAnsi"/>
        </w:rPr>
        <w:t xml:space="preserve">above n </w:t>
      </w:r>
      <w:r w:rsidRPr="00CD6659">
        <w:rPr>
          <w:rFonts w:asciiTheme="minorHAnsi" w:hAnsiTheme="minorHAnsi"/>
        </w:rPr>
        <w:fldChar w:fldCharType="begin"/>
      </w:r>
      <w:r w:rsidRPr="00CD6659">
        <w:rPr>
          <w:rFonts w:asciiTheme="minorHAnsi" w:hAnsiTheme="minorHAnsi"/>
          <w:lang w:val="es-ES_tradnl"/>
        </w:rPr>
        <w:instrText xml:space="preserve"> NOTEREF _Ref354514689 \h </w:instrText>
      </w:r>
      <w:r w:rsidRPr="00CD6659">
        <w:rPr>
          <w:rFonts w:asciiTheme="minorHAnsi" w:hAnsiTheme="minorHAnsi"/>
        </w:rPr>
        <w:instrText xml:space="preserve"> \* MERGEFORMAT </w:instrText>
      </w:r>
      <w:r w:rsidRPr="00CD6659">
        <w:rPr>
          <w:rFonts w:asciiTheme="minorHAnsi" w:hAnsiTheme="minorHAnsi"/>
        </w:rPr>
      </w:r>
      <w:r w:rsidRPr="00CD6659">
        <w:rPr>
          <w:rFonts w:asciiTheme="minorHAnsi" w:hAnsiTheme="minorHAnsi"/>
        </w:rPr>
        <w:fldChar w:fldCharType="separate"/>
      </w:r>
      <w:r w:rsidR="00512C5B">
        <w:rPr>
          <w:rFonts w:asciiTheme="minorHAnsi" w:hAnsiTheme="minorHAnsi"/>
          <w:lang w:val="es-ES_tradnl"/>
        </w:rPr>
        <w:t>30</w:t>
      </w:r>
      <w:r w:rsidRPr="00CD6659">
        <w:rPr>
          <w:rFonts w:asciiTheme="minorHAnsi" w:hAnsiTheme="minorHAnsi"/>
        </w:rPr>
        <w:fldChar w:fldCharType="end"/>
      </w:r>
      <w:r w:rsidRPr="00CD6659">
        <w:rPr>
          <w:rFonts w:asciiTheme="minorHAnsi" w:hAnsiTheme="minorHAnsi"/>
        </w:rPr>
        <w:t>.</w:t>
      </w:r>
    </w:p>
  </w:footnote>
  <w:footnote w:id="44">
    <w:p w:rsidR="002D1ED2" w:rsidRPr="00CD6659" w:rsidRDefault="002D1ED2" w:rsidP="00A07FBF">
      <w:pPr>
        <w:pStyle w:val="FootnoteText"/>
        <w:spacing w:line="240" w:lineRule="auto"/>
        <w:jc w:val="left"/>
        <w:rPr>
          <w:rFonts w:asciiTheme="minorHAnsi" w:hAnsiTheme="minorHAnsi"/>
        </w:rPr>
      </w:pPr>
      <w:r w:rsidRPr="00CD6659">
        <w:rPr>
          <w:rStyle w:val="FootnoteReference"/>
          <w:rFonts w:asciiTheme="minorHAnsi" w:hAnsiTheme="minorHAnsi"/>
        </w:rPr>
        <w:footnoteRef/>
      </w:r>
      <w:r w:rsidRPr="00CD6659">
        <w:rPr>
          <w:rFonts w:asciiTheme="minorHAnsi" w:hAnsiTheme="minorHAnsi"/>
        </w:rPr>
        <w:t xml:space="preserve"> See e.g. </w:t>
      </w:r>
      <w:proofErr w:type="spellStart"/>
      <w:r w:rsidRPr="00CD6659">
        <w:rPr>
          <w:rFonts w:asciiTheme="minorHAnsi" w:hAnsiTheme="minorHAnsi"/>
        </w:rPr>
        <w:t>Bhabha</w:t>
      </w:r>
      <w:proofErr w:type="spellEnd"/>
      <w:r w:rsidRPr="00CD6659">
        <w:rPr>
          <w:rFonts w:asciiTheme="minorHAnsi" w:hAnsiTheme="minorHAnsi"/>
        </w:rPr>
        <w:t>,</w:t>
      </w:r>
      <w:r w:rsidR="009E28EE">
        <w:rPr>
          <w:rFonts w:asciiTheme="minorHAnsi" w:hAnsiTheme="minorHAnsi"/>
        </w:rPr>
        <w:t xml:space="preserve"> H.K.,</w:t>
      </w:r>
      <w:r w:rsidRPr="00CD6659">
        <w:rPr>
          <w:rFonts w:asciiTheme="minorHAnsi" w:hAnsiTheme="minorHAnsi"/>
        </w:rPr>
        <w:t xml:space="preserve"> </w:t>
      </w:r>
      <w:r w:rsidR="009E28EE">
        <w:rPr>
          <w:rFonts w:asciiTheme="minorHAnsi" w:hAnsiTheme="minorHAnsi"/>
        </w:rPr>
        <w:t xml:space="preserve">(1985), </w:t>
      </w:r>
      <w:r w:rsidRPr="00CD6659">
        <w:rPr>
          <w:rFonts w:asciiTheme="minorHAnsi" w:hAnsiTheme="minorHAnsi"/>
        </w:rPr>
        <w:t>‘Signs Taken for Wonders: Questions of Ambivalence and Authority Under a Tree Outside Delhi, May 1817’</w:t>
      </w:r>
      <w:r w:rsidR="009E28EE">
        <w:rPr>
          <w:rFonts w:asciiTheme="minorHAnsi" w:hAnsiTheme="minorHAnsi"/>
        </w:rPr>
        <w:t>,</w:t>
      </w:r>
      <w:r w:rsidRPr="00CD6659">
        <w:rPr>
          <w:rFonts w:asciiTheme="minorHAnsi" w:hAnsiTheme="minorHAnsi"/>
        </w:rPr>
        <w:t xml:space="preserve">  </w:t>
      </w:r>
      <w:r w:rsidRPr="00CD6659">
        <w:rPr>
          <w:rFonts w:asciiTheme="minorHAnsi" w:hAnsiTheme="minorHAnsi"/>
          <w:i/>
        </w:rPr>
        <w:t>Critical Inquiry</w:t>
      </w:r>
      <w:r w:rsidR="009E28EE">
        <w:rPr>
          <w:rFonts w:asciiTheme="minorHAnsi" w:hAnsiTheme="minorHAnsi"/>
        </w:rPr>
        <w:t>,</w:t>
      </w:r>
      <w:r w:rsidRPr="00CD6659">
        <w:rPr>
          <w:rFonts w:asciiTheme="minorHAnsi" w:hAnsiTheme="minorHAnsi"/>
        </w:rPr>
        <w:t xml:space="preserve"> 12, </w:t>
      </w:r>
      <w:r w:rsidR="009E28EE">
        <w:rPr>
          <w:rFonts w:asciiTheme="minorHAnsi" w:hAnsiTheme="minorHAnsi"/>
        </w:rPr>
        <w:t xml:space="preserve">pp. </w:t>
      </w:r>
      <w:r w:rsidRPr="00CD6659">
        <w:rPr>
          <w:rFonts w:asciiTheme="minorHAnsi" w:hAnsiTheme="minorHAnsi"/>
        </w:rPr>
        <w:t xml:space="preserve">152-153; </w:t>
      </w:r>
      <w:r w:rsidR="009E28EE">
        <w:rPr>
          <w:rFonts w:asciiTheme="minorHAnsi" w:hAnsiTheme="minorHAnsi"/>
        </w:rPr>
        <w:t xml:space="preserve">and </w:t>
      </w:r>
      <w:proofErr w:type="spellStart"/>
      <w:r w:rsidRPr="00CD6659">
        <w:rPr>
          <w:rFonts w:asciiTheme="minorHAnsi" w:hAnsiTheme="minorHAnsi"/>
        </w:rPr>
        <w:t>Spivak</w:t>
      </w:r>
      <w:proofErr w:type="spellEnd"/>
      <w:r w:rsidRPr="00CD6659">
        <w:rPr>
          <w:rFonts w:asciiTheme="minorHAnsi" w:hAnsiTheme="minorHAnsi"/>
        </w:rPr>
        <w:t xml:space="preserve">, </w:t>
      </w:r>
      <w:r w:rsidR="009E28EE">
        <w:rPr>
          <w:rFonts w:asciiTheme="minorHAnsi" w:hAnsiTheme="minorHAnsi"/>
        </w:rPr>
        <w:t xml:space="preserve">G.C., </w:t>
      </w:r>
      <w:r w:rsidRPr="00CD6659">
        <w:rPr>
          <w:rFonts w:asciiTheme="minorHAnsi" w:hAnsiTheme="minorHAnsi"/>
        </w:rPr>
        <w:t xml:space="preserve">‘Subaltern Studies: Deconstructing </w:t>
      </w:r>
      <w:proofErr w:type="spellStart"/>
      <w:r w:rsidRPr="00CD6659">
        <w:rPr>
          <w:rFonts w:asciiTheme="minorHAnsi" w:hAnsiTheme="minorHAnsi"/>
        </w:rPr>
        <w:t>Histiography</w:t>
      </w:r>
      <w:proofErr w:type="spellEnd"/>
      <w:r w:rsidRPr="00CD6659">
        <w:rPr>
          <w:rFonts w:asciiTheme="minorHAnsi" w:hAnsiTheme="minorHAnsi"/>
        </w:rPr>
        <w:t xml:space="preserve">’ in </w:t>
      </w:r>
      <w:proofErr w:type="spellStart"/>
      <w:r w:rsidR="009E28EE">
        <w:rPr>
          <w:rFonts w:asciiTheme="minorHAnsi" w:hAnsiTheme="minorHAnsi"/>
        </w:rPr>
        <w:t>Guha</w:t>
      </w:r>
      <w:proofErr w:type="spellEnd"/>
      <w:r w:rsidR="009E28EE">
        <w:rPr>
          <w:rFonts w:asciiTheme="minorHAnsi" w:hAnsiTheme="minorHAnsi"/>
        </w:rPr>
        <w:t xml:space="preserve">, R. </w:t>
      </w:r>
      <w:r w:rsidRPr="00CD6659">
        <w:rPr>
          <w:rFonts w:asciiTheme="minorHAnsi" w:hAnsiTheme="minorHAnsi"/>
        </w:rPr>
        <w:t>(</w:t>
      </w:r>
      <w:proofErr w:type="spellStart"/>
      <w:r w:rsidRPr="00CD6659">
        <w:rPr>
          <w:rFonts w:asciiTheme="minorHAnsi" w:hAnsiTheme="minorHAnsi"/>
        </w:rPr>
        <w:t>ed</w:t>
      </w:r>
      <w:proofErr w:type="spellEnd"/>
      <w:r w:rsidR="009E28EE">
        <w:rPr>
          <w:rFonts w:asciiTheme="minorHAnsi" w:hAnsiTheme="minorHAnsi"/>
        </w:rPr>
        <w:t>),</w:t>
      </w:r>
      <w:r w:rsidRPr="00CD6659">
        <w:rPr>
          <w:rFonts w:asciiTheme="minorHAnsi" w:hAnsiTheme="minorHAnsi"/>
        </w:rPr>
        <w:t xml:space="preserve"> </w:t>
      </w:r>
      <w:r w:rsidRPr="00CD6659">
        <w:rPr>
          <w:rFonts w:asciiTheme="minorHAnsi" w:hAnsiTheme="minorHAnsi"/>
          <w:i/>
        </w:rPr>
        <w:t>Subaltern Studies IV: Writings on South Asian History and Society</w:t>
      </w:r>
      <w:r w:rsidR="009E28EE">
        <w:rPr>
          <w:rFonts w:asciiTheme="minorHAnsi" w:hAnsiTheme="minorHAnsi"/>
        </w:rPr>
        <w:t>, Oxford, UK: Oxford University Press,</w:t>
      </w:r>
      <w:r w:rsidRPr="00CD6659">
        <w:rPr>
          <w:rFonts w:asciiTheme="minorHAnsi" w:hAnsiTheme="minorHAnsi"/>
        </w:rPr>
        <w:t xml:space="preserve"> </w:t>
      </w:r>
      <w:r w:rsidR="009E28EE">
        <w:rPr>
          <w:rFonts w:asciiTheme="minorHAnsi" w:hAnsiTheme="minorHAnsi"/>
        </w:rPr>
        <w:t xml:space="preserve">p. </w:t>
      </w:r>
      <w:r w:rsidRPr="00CD6659">
        <w:rPr>
          <w:rFonts w:asciiTheme="minorHAnsi" w:hAnsiTheme="minorHAnsi"/>
        </w:rPr>
        <w:t>5.</w:t>
      </w:r>
      <w:r w:rsidRPr="00CD6659">
        <w:rPr>
          <w:rFonts w:asciiTheme="minorHAnsi" w:hAnsiTheme="minorHAnsi"/>
          <w:i/>
        </w:rPr>
        <w:t xml:space="preserve"> </w:t>
      </w:r>
      <w:r w:rsidRPr="00CD6659">
        <w:rPr>
          <w:rFonts w:asciiTheme="minorHAnsi" w:hAnsiTheme="minorHAnsi"/>
        </w:rPr>
        <w:t xml:space="preserve"> </w:t>
      </w:r>
    </w:p>
  </w:footnote>
  <w:footnote w:id="45">
    <w:p w:rsidR="002D1ED2" w:rsidRPr="00CD6659" w:rsidRDefault="002D1ED2" w:rsidP="00A07FBF">
      <w:pPr>
        <w:pStyle w:val="FootnoteText"/>
        <w:spacing w:line="240" w:lineRule="auto"/>
        <w:jc w:val="left"/>
        <w:rPr>
          <w:rFonts w:asciiTheme="minorHAnsi" w:hAnsiTheme="minorHAnsi"/>
        </w:rPr>
      </w:pPr>
      <w:r w:rsidRPr="00CD6659">
        <w:rPr>
          <w:rStyle w:val="FootnoteReference"/>
          <w:rFonts w:asciiTheme="minorHAnsi" w:hAnsiTheme="minorHAnsi"/>
        </w:rPr>
        <w:footnoteRef/>
      </w:r>
      <w:r w:rsidRPr="00CD6659">
        <w:rPr>
          <w:rFonts w:asciiTheme="minorHAnsi" w:hAnsiTheme="minorHAnsi"/>
        </w:rPr>
        <w:t xml:space="preserve"> </w:t>
      </w:r>
      <w:proofErr w:type="spellStart"/>
      <w:proofErr w:type="gramStart"/>
      <w:r w:rsidRPr="00CD6659">
        <w:rPr>
          <w:rFonts w:asciiTheme="minorHAnsi" w:hAnsiTheme="minorHAnsi"/>
        </w:rPr>
        <w:t>Paolini</w:t>
      </w:r>
      <w:proofErr w:type="spellEnd"/>
      <w:r w:rsidRPr="00CD6659">
        <w:rPr>
          <w:rFonts w:asciiTheme="minorHAnsi" w:hAnsiTheme="minorHAnsi"/>
        </w:rPr>
        <w:t>, above n</w:t>
      </w:r>
      <w:r w:rsidR="009E28EE">
        <w:rPr>
          <w:rFonts w:asciiTheme="minorHAnsi" w:hAnsiTheme="minorHAnsi"/>
        </w:rPr>
        <w:fldChar w:fldCharType="begin"/>
      </w:r>
      <w:r w:rsidR="009E28EE">
        <w:rPr>
          <w:rFonts w:asciiTheme="minorHAnsi" w:hAnsiTheme="minorHAnsi"/>
        </w:rPr>
        <w:instrText xml:space="preserve"> NOTEREF _Ref375833079 \h </w:instrText>
      </w:r>
      <w:r w:rsidR="009E28EE">
        <w:rPr>
          <w:rFonts w:asciiTheme="minorHAnsi" w:hAnsiTheme="minorHAnsi"/>
        </w:rPr>
      </w:r>
      <w:r w:rsidR="009E28EE">
        <w:rPr>
          <w:rFonts w:asciiTheme="minorHAnsi" w:hAnsiTheme="minorHAnsi"/>
        </w:rPr>
        <w:fldChar w:fldCharType="separate"/>
      </w:r>
      <w:r w:rsidR="00512C5B">
        <w:rPr>
          <w:rFonts w:asciiTheme="minorHAnsi" w:hAnsiTheme="minorHAnsi"/>
        </w:rPr>
        <w:t>9</w:t>
      </w:r>
      <w:r w:rsidR="009E28EE">
        <w:rPr>
          <w:rFonts w:asciiTheme="minorHAnsi" w:hAnsiTheme="minorHAnsi"/>
        </w:rPr>
        <w:fldChar w:fldCharType="end"/>
      </w:r>
      <w:r w:rsidRPr="00CD6659">
        <w:rPr>
          <w:rFonts w:asciiTheme="minorHAnsi" w:hAnsiTheme="minorHAnsi"/>
        </w:rPr>
        <w:t>, 54.</w:t>
      </w:r>
      <w:proofErr w:type="gramEnd"/>
    </w:p>
  </w:footnote>
  <w:footnote w:id="46">
    <w:p w:rsidR="00FE05CF" w:rsidRPr="00CD6659" w:rsidRDefault="00FE05CF" w:rsidP="00A07FBF">
      <w:pPr>
        <w:pStyle w:val="FootnoteText"/>
        <w:spacing w:line="240" w:lineRule="auto"/>
        <w:jc w:val="left"/>
        <w:rPr>
          <w:rFonts w:asciiTheme="minorHAnsi" w:hAnsiTheme="minorHAnsi"/>
          <w:b/>
        </w:rPr>
      </w:pPr>
      <w:r w:rsidRPr="00CD6659">
        <w:rPr>
          <w:rStyle w:val="FootnoteReference"/>
          <w:rFonts w:asciiTheme="minorHAnsi" w:hAnsiTheme="minorHAnsi"/>
        </w:rPr>
        <w:footnoteRef/>
      </w:r>
      <w:r w:rsidRPr="00CD6659">
        <w:rPr>
          <w:rFonts w:asciiTheme="minorHAnsi" w:hAnsiTheme="minorHAnsi"/>
        </w:rPr>
        <w:t xml:space="preserve"> See generally </w:t>
      </w:r>
      <w:proofErr w:type="spellStart"/>
      <w:r w:rsidRPr="00CD6659">
        <w:rPr>
          <w:rFonts w:asciiTheme="minorHAnsi" w:eastAsia="ヒラギノ角ゴ Pro W3" w:hAnsiTheme="minorHAnsi"/>
          <w:color w:val="000000"/>
        </w:rPr>
        <w:t>Obinna</w:t>
      </w:r>
      <w:proofErr w:type="spellEnd"/>
      <w:r w:rsidRPr="00CD6659">
        <w:rPr>
          <w:rFonts w:asciiTheme="minorHAnsi" w:eastAsia="ヒラギノ角ゴ Pro W3" w:hAnsiTheme="minorHAnsi"/>
          <w:color w:val="000000"/>
        </w:rPr>
        <w:t xml:space="preserve"> </w:t>
      </w:r>
      <w:proofErr w:type="spellStart"/>
      <w:r w:rsidRPr="00CD6659">
        <w:rPr>
          <w:rFonts w:asciiTheme="minorHAnsi" w:eastAsia="ヒラギノ角ゴ Pro W3" w:hAnsiTheme="minorHAnsi"/>
          <w:color w:val="000000"/>
        </w:rPr>
        <w:t>Okere</w:t>
      </w:r>
      <w:proofErr w:type="spellEnd"/>
      <w:r w:rsidRPr="00CD6659">
        <w:rPr>
          <w:rFonts w:asciiTheme="minorHAnsi" w:eastAsia="ヒラギノ角ゴ Pro W3" w:hAnsiTheme="minorHAnsi"/>
          <w:color w:val="000000"/>
        </w:rPr>
        <w:t>,</w:t>
      </w:r>
      <w:r w:rsidR="009E28EE">
        <w:rPr>
          <w:rFonts w:asciiTheme="minorHAnsi" w:eastAsia="ヒラギノ角ゴ Pro W3" w:hAnsiTheme="minorHAnsi"/>
          <w:color w:val="000000"/>
        </w:rPr>
        <w:t xml:space="preserve"> B., (1984),</w:t>
      </w:r>
      <w:r w:rsidRPr="00CD6659">
        <w:rPr>
          <w:rFonts w:asciiTheme="minorHAnsi" w:eastAsia="ヒラギノ角ゴ Pro W3" w:hAnsiTheme="minorHAnsi"/>
          <w:color w:val="000000"/>
        </w:rPr>
        <w:t xml:space="preserve"> ‘The Protection of Human Rights and the African Charter on Human and People’s Rights: A Comparative Analysis with the European and American Systems’, </w:t>
      </w:r>
      <w:r w:rsidRPr="00CD6659">
        <w:rPr>
          <w:rFonts w:asciiTheme="minorHAnsi" w:eastAsia="ヒラギノ角ゴ Pro W3" w:hAnsiTheme="minorHAnsi"/>
          <w:i/>
          <w:color w:val="000000"/>
        </w:rPr>
        <w:t>Human Rights Quarterly</w:t>
      </w:r>
      <w:r w:rsidRPr="00CD6659">
        <w:rPr>
          <w:rFonts w:asciiTheme="minorHAnsi" w:eastAsia="ヒラギノ角ゴ Pro W3" w:hAnsiTheme="minorHAnsi"/>
          <w:color w:val="000000"/>
        </w:rPr>
        <w:t>, 6(2)</w:t>
      </w:r>
      <w:r w:rsidR="009E28EE">
        <w:rPr>
          <w:rFonts w:asciiTheme="minorHAnsi" w:eastAsia="ヒラギノ角ゴ Pro W3" w:hAnsiTheme="minorHAnsi"/>
          <w:color w:val="000000"/>
        </w:rPr>
        <w:t>, pp. 141-159</w:t>
      </w:r>
      <w:r w:rsidRPr="00CD6659">
        <w:rPr>
          <w:rFonts w:asciiTheme="minorHAnsi" w:eastAsia="ヒラギノ角ゴ Pro W3" w:hAnsiTheme="minorHAnsi"/>
          <w:color w:val="000000"/>
        </w:rPr>
        <w:t xml:space="preserve">; </w:t>
      </w:r>
      <w:proofErr w:type="spellStart"/>
      <w:r w:rsidRPr="00CD6659">
        <w:rPr>
          <w:rFonts w:asciiTheme="minorHAnsi" w:eastAsia="ヒラギノ角ゴ Pro W3" w:hAnsiTheme="minorHAnsi"/>
          <w:color w:val="000000"/>
        </w:rPr>
        <w:t>Kausikan</w:t>
      </w:r>
      <w:proofErr w:type="spellEnd"/>
      <w:r w:rsidRPr="00CD6659">
        <w:rPr>
          <w:rFonts w:asciiTheme="minorHAnsi" w:eastAsia="ヒラギノ角ゴ Pro W3" w:hAnsiTheme="minorHAnsi"/>
          <w:color w:val="000000"/>
        </w:rPr>
        <w:t xml:space="preserve">, </w:t>
      </w:r>
      <w:r w:rsidRPr="00CD6659">
        <w:rPr>
          <w:rFonts w:asciiTheme="minorHAnsi" w:hAnsiTheme="minorHAnsi"/>
        </w:rPr>
        <w:t xml:space="preserve">above n </w:t>
      </w:r>
      <w:r w:rsidRPr="00CD6659">
        <w:rPr>
          <w:rFonts w:asciiTheme="minorHAnsi" w:eastAsia="ヒラギノ角ゴ Pro W3" w:hAnsiTheme="minorHAnsi"/>
          <w:color w:val="000000"/>
        </w:rPr>
        <w:fldChar w:fldCharType="begin"/>
      </w:r>
      <w:r w:rsidRPr="00CD6659">
        <w:rPr>
          <w:rFonts w:asciiTheme="minorHAnsi" w:eastAsia="ヒラギノ角ゴ Pro W3" w:hAnsiTheme="minorHAnsi"/>
          <w:color w:val="000000"/>
        </w:rPr>
        <w:instrText xml:space="preserve"> NOTEREF _Ref354514485 \h  \* MERGEFORMAT </w:instrText>
      </w:r>
      <w:r w:rsidRPr="00CD6659">
        <w:rPr>
          <w:rFonts w:asciiTheme="minorHAnsi" w:eastAsia="ヒラギノ角ゴ Pro W3" w:hAnsiTheme="minorHAnsi"/>
          <w:color w:val="000000"/>
        </w:rPr>
      </w:r>
      <w:r w:rsidRPr="00CD6659">
        <w:rPr>
          <w:rFonts w:asciiTheme="minorHAnsi" w:eastAsia="ヒラギノ角ゴ Pro W3" w:hAnsiTheme="minorHAnsi"/>
          <w:color w:val="000000"/>
        </w:rPr>
        <w:fldChar w:fldCharType="separate"/>
      </w:r>
      <w:r w:rsidR="00512C5B">
        <w:rPr>
          <w:rFonts w:asciiTheme="minorHAnsi" w:eastAsia="ヒラギノ角ゴ Pro W3" w:hAnsiTheme="minorHAnsi"/>
          <w:color w:val="000000"/>
        </w:rPr>
        <w:t>14</w:t>
      </w:r>
      <w:r w:rsidRPr="00CD6659">
        <w:rPr>
          <w:rFonts w:asciiTheme="minorHAnsi" w:eastAsia="ヒラギノ角ゴ Pro W3" w:hAnsiTheme="minorHAnsi"/>
          <w:color w:val="000000"/>
        </w:rPr>
        <w:fldChar w:fldCharType="end"/>
      </w:r>
      <w:r w:rsidRPr="00CD6659">
        <w:rPr>
          <w:rFonts w:asciiTheme="minorHAnsi" w:eastAsia="ヒラギノ角ゴ Pro W3" w:hAnsiTheme="minorHAnsi"/>
          <w:color w:val="000000"/>
        </w:rPr>
        <w:t xml:space="preserve">. </w:t>
      </w:r>
    </w:p>
  </w:footnote>
  <w:footnote w:id="47">
    <w:p w:rsidR="00FE05CF" w:rsidRPr="00CD6659" w:rsidRDefault="00FE05CF" w:rsidP="00A07FBF">
      <w:pPr>
        <w:pStyle w:val="FootnoteText"/>
        <w:spacing w:line="240" w:lineRule="auto"/>
        <w:jc w:val="left"/>
        <w:rPr>
          <w:rFonts w:asciiTheme="minorHAnsi" w:hAnsiTheme="minorHAnsi"/>
          <w:b/>
        </w:rPr>
      </w:pPr>
      <w:r w:rsidRPr="00CD6659">
        <w:rPr>
          <w:rStyle w:val="FootnoteReference"/>
          <w:rFonts w:asciiTheme="minorHAnsi" w:hAnsiTheme="minorHAnsi"/>
        </w:rPr>
        <w:footnoteRef/>
      </w:r>
      <w:r w:rsidRPr="00CD6659">
        <w:rPr>
          <w:rFonts w:asciiTheme="minorHAnsi" w:hAnsiTheme="minorHAnsi"/>
        </w:rPr>
        <w:t xml:space="preserve"> See generally </w:t>
      </w:r>
      <w:proofErr w:type="spellStart"/>
      <w:r w:rsidRPr="00CD6659">
        <w:rPr>
          <w:rFonts w:asciiTheme="minorHAnsi" w:eastAsia="ヒラギノ角ゴ Pro W3" w:hAnsiTheme="minorHAnsi"/>
          <w:color w:val="000000"/>
        </w:rPr>
        <w:t>Obinna</w:t>
      </w:r>
      <w:proofErr w:type="spellEnd"/>
      <w:r w:rsidRPr="00CD6659">
        <w:rPr>
          <w:rFonts w:asciiTheme="minorHAnsi" w:eastAsia="ヒラギノ角ゴ Pro W3" w:hAnsiTheme="minorHAnsi"/>
          <w:color w:val="000000"/>
        </w:rPr>
        <w:t xml:space="preserve"> </w:t>
      </w:r>
      <w:proofErr w:type="spellStart"/>
      <w:r w:rsidRPr="00CD6659">
        <w:rPr>
          <w:rFonts w:asciiTheme="minorHAnsi" w:eastAsia="ヒラギノ角ゴ Pro W3" w:hAnsiTheme="minorHAnsi"/>
          <w:color w:val="000000"/>
        </w:rPr>
        <w:t>Okere</w:t>
      </w:r>
      <w:proofErr w:type="spellEnd"/>
      <w:r w:rsidRPr="00CD6659">
        <w:rPr>
          <w:rFonts w:asciiTheme="minorHAnsi" w:eastAsia="ヒラギノ角ゴ Pro W3" w:hAnsiTheme="minorHAnsi"/>
          <w:color w:val="000000"/>
        </w:rPr>
        <w:t xml:space="preserve">, </w:t>
      </w:r>
      <w:r w:rsidRPr="00CD6659">
        <w:rPr>
          <w:rFonts w:asciiTheme="minorHAnsi" w:eastAsia="ヒラギノ角ゴ Pro W3" w:hAnsiTheme="minorHAnsi"/>
          <w:i/>
          <w:color w:val="000000"/>
        </w:rPr>
        <w:t xml:space="preserve">Ibid. </w:t>
      </w:r>
    </w:p>
  </w:footnote>
  <w:footnote w:id="48">
    <w:p w:rsidR="00FE05CF" w:rsidRPr="00CD6659" w:rsidRDefault="00FE05CF" w:rsidP="007B2F26">
      <w:pPr>
        <w:rPr>
          <w:b/>
          <w:sz w:val="20"/>
          <w:szCs w:val="20"/>
        </w:rPr>
      </w:pPr>
      <w:r w:rsidRPr="00CD6659">
        <w:rPr>
          <w:rStyle w:val="FootnoteReference"/>
          <w:sz w:val="20"/>
          <w:szCs w:val="20"/>
        </w:rPr>
        <w:footnoteRef/>
      </w:r>
      <w:r w:rsidR="009E28EE">
        <w:rPr>
          <w:sz w:val="20"/>
          <w:szCs w:val="20"/>
        </w:rPr>
        <w:t xml:space="preserve"> See e.g. </w:t>
      </w:r>
      <w:proofErr w:type="spellStart"/>
      <w:r w:rsidRPr="00CD6659">
        <w:rPr>
          <w:sz w:val="20"/>
          <w:szCs w:val="20"/>
        </w:rPr>
        <w:t>Heinze</w:t>
      </w:r>
      <w:proofErr w:type="spellEnd"/>
      <w:r w:rsidRPr="00CD6659">
        <w:rPr>
          <w:sz w:val="20"/>
          <w:szCs w:val="20"/>
        </w:rPr>
        <w:t xml:space="preserve">, </w:t>
      </w:r>
      <w:r w:rsidR="009E28EE">
        <w:rPr>
          <w:sz w:val="20"/>
          <w:szCs w:val="20"/>
        </w:rPr>
        <w:t xml:space="preserve">E., (2008), </w:t>
      </w:r>
      <w:r w:rsidRPr="00CD6659">
        <w:rPr>
          <w:sz w:val="20"/>
          <w:szCs w:val="20"/>
        </w:rPr>
        <w:t>‘Even Handedness and the Politics of Human Rights’</w:t>
      </w:r>
      <w:r w:rsidR="009E28EE">
        <w:rPr>
          <w:sz w:val="20"/>
          <w:szCs w:val="20"/>
        </w:rPr>
        <w:t>,</w:t>
      </w:r>
      <w:r w:rsidRPr="00CD6659">
        <w:rPr>
          <w:sz w:val="20"/>
          <w:szCs w:val="20"/>
        </w:rPr>
        <w:t xml:space="preserve"> </w:t>
      </w:r>
      <w:r w:rsidRPr="00CD6659">
        <w:rPr>
          <w:i/>
          <w:sz w:val="20"/>
          <w:szCs w:val="20"/>
        </w:rPr>
        <w:t>Harvard Human Rights Journal</w:t>
      </w:r>
      <w:r w:rsidR="009E28EE">
        <w:rPr>
          <w:sz w:val="20"/>
          <w:szCs w:val="20"/>
        </w:rPr>
        <w:t xml:space="preserve"> 21(7), pp. 7-46.</w:t>
      </w:r>
      <w:r w:rsidRPr="00CD6659">
        <w:rPr>
          <w:sz w:val="20"/>
          <w:szCs w:val="20"/>
        </w:rPr>
        <w:t xml:space="preserve"> </w:t>
      </w:r>
    </w:p>
  </w:footnote>
  <w:footnote w:id="49">
    <w:p w:rsidR="00FE05CF" w:rsidRPr="00CD6659" w:rsidRDefault="00FE05CF" w:rsidP="007B2F26">
      <w:pPr>
        <w:pStyle w:val="FootnoteText"/>
        <w:spacing w:line="240" w:lineRule="auto"/>
        <w:rPr>
          <w:rFonts w:asciiTheme="minorHAnsi" w:hAnsiTheme="minorHAnsi"/>
        </w:rPr>
      </w:pPr>
      <w:r w:rsidRPr="00CD6659">
        <w:rPr>
          <w:rStyle w:val="FootnoteReference"/>
          <w:rFonts w:asciiTheme="minorHAnsi" w:hAnsiTheme="minorHAnsi"/>
        </w:rPr>
        <w:footnoteRef/>
      </w:r>
      <w:r w:rsidRPr="00CD6659">
        <w:rPr>
          <w:rFonts w:asciiTheme="minorHAnsi" w:hAnsiTheme="minorHAnsi"/>
        </w:rPr>
        <w:t xml:space="preserve"> G-77 was named at its creation in 1964, when 77 states jointly prepared for the UN Conference on Trade and Development. It worked in parallel with NAM, focusing on economic issues. On the relationship between NAM and G-77, see for example Weiss, </w:t>
      </w:r>
      <w:r w:rsidR="009E28EE">
        <w:rPr>
          <w:rFonts w:asciiTheme="minorHAnsi" w:hAnsiTheme="minorHAnsi"/>
        </w:rPr>
        <w:t xml:space="preserve">T.G., (2008), </w:t>
      </w:r>
      <w:r w:rsidRPr="00CD6659">
        <w:rPr>
          <w:rFonts w:asciiTheme="minorHAnsi" w:hAnsiTheme="minorHAnsi"/>
          <w:i/>
        </w:rPr>
        <w:t>What’s Wrong with the United Nations and How to Fix It</w:t>
      </w:r>
      <w:r w:rsidR="009E28EE">
        <w:rPr>
          <w:rFonts w:asciiTheme="minorHAnsi" w:hAnsiTheme="minorHAnsi"/>
        </w:rPr>
        <w:t>, Wiley</w:t>
      </w:r>
      <w:proofErr w:type="gramStart"/>
      <w:r w:rsidR="009E28EE">
        <w:rPr>
          <w:rFonts w:asciiTheme="minorHAnsi" w:hAnsiTheme="minorHAnsi"/>
        </w:rPr>
        <w:t xml:space="preserve">, </w:t>
      </w:r>
      <w:r w:rsidRPr="00CD6659">
        <w:rPr>
          <w:rFonts w:asciiTheme="minorHAnsi" w:hAnsiTheme="minorHAnsi"/>
        </w:rPr>
        <w:t xml:space="preserve"> </w:t>
      </w:r>
      <w:r w:rsidR="009E28EE">
        <w:rPr>
          <w:rFonts w:asciiTheme="minorHAnsi" w:hAnsiTheme="minorHAnsi"/>
        </w:rPr>
        <w:t>p</w:t>
      </w:r>
      <w:proofErr w:type="gramEnd"/>
      <w:r w:rsidR="009E28EE">
        <w:rPr>
          <w:rFonts w:asciiTheme="minorHAnsi" w:hAnsiTheme="minorHAnsi"/>
        </w:rPr>
        <w:t xml:space="preserve">. </w:t>
      </w:r>
      <w:r w:rsidRPr="00CD6659">
        <w:rPr>
          <w:rFonts w:asciiTheme="minorHAnsi" w:hAnsiTheme="minorHAnsi"/>
        </w:rPr>
        <w:t>49.</w:t>
      </w:r>
    </w:p>
  </w:footnote>
  <w:footnote w:id="50">
    <w:p w:rsidR="00FE05CF" w:rsidRPr="00CD6659" w:rsidRDefault="00FE05CF" w:rsidP="00A07FBF">
      <w:pPr>
        <w:pStyle w:val="FootnoteText"/>
        <w:spacing w:line="240" w:lineRule="auto"/>
        <w:rPr>
          <w:rFonts w:asciiTheme="minorHAnsi" w:hAnsiTheme="minorHAnsi"/>
          <w:b/>
        </w:rPr>
      </w:pPr>
      <w:r w:rsidRPr="00CD6659">
        <w:rPr>
          <w:rStyle w:val="FootnoteReference"/>
          <w:rFonts w:asciiTheme="minorHAnsi" w:hAnsiTheme="minorHAnsi"/>
        </w:rPr>
        <w:footnoteRef/>
      </w:r>
      <w:r w:rsidRPr="00CD6659">
        <w:rPr>
          <w:rFonts w:asciiTheme="minorHAnsi" w:hAnsiTheme="minorHAnsi"/>
        </w:rPr>
        <w:t xml:space="preserve"> G7+ was formed by a group of fragile and conflict-affected states in order to provide a mechanism for focusing on and engaging with peacebuilding and </w:t>
      </w:r>
      <w:proofErr w:type="spellStart"/>
      <w:r w:rsidRPr="00CD6659">
        <w:rPr>
          <w:rFonts w:asciiTheme="minorHAnsi" w:hAnsiTheme="minorHAnsi"/>
        </w:rPr>
        <w:t>statebuilding</w:t>
      </w:r>
      <w:proofErr w:type="spellEnd"/>
      <w:r w:rsidRPr="00CD6659">
        <w:rPr>
          <w:rFonts w:asciiTheme="minorHAnsi" w:hAnsiTheme="minorHAnsi"/>
        </w:rPr>
        <w:t>. The heterogeneous group brings together states and international actors in order to facilitate development and capacity-building.</w:t>
      </w:r>
      <w:r w:rsidRPr="00CD6659">
        <w:rPr>
          <w:rFonts w:asciiTheme="minorHAnsi" w:hAnsiTheme="minorHAnsi"/>
          <w:b/>
        </w:rPr>
        <w:t xml:space="preserve"> </w:t>
      </w:r>
    </w:p>
  </w:footnote>
  <w:footnote w:id="51">
    <w:p w:rsidR="00FE05CF" w:rsidRPr="00CD6659" w:rsidRDefault="00FE05CF" w:rsidP="00A07FBF">
      <w:pPr>
        <w:pStyle w:val="FootnoteText"/>
        <w:spacing w:line="240" w:lineRule="auto"/>
        <w:jc w:val="left"/>
        <w:rPr>
          <w:rFonts w:asciiTheme="minorHAnsi" w:hAnsiTheme="minorHAnsi"/>
          <w:b/>
        </w:rPr>
      </w:pPr>
      <w:r w:rsidRPr="00CD6659">
        <w:rPr>
          <w:rStyle w:val="FootnoteReference"/>
          <w:rFonts w:asciiTheme="minorHAnsi" w:hAnsiTheme="minorHAnsi"/>
        </w:rPr>
        <w:footnoteRef/>
      </w:r>
      <w:r w:rsidRPr="00CD6659">
        <w:rPr>
          <w:rFonts w:asciiTheme="minorHAnsi" w:hAnsiTheme="minorHAnsi"/>
        </w:rPr>
        <w:t xml:space="preserve"> Organization of American States, ‘</w:t>
      </w:r>
      <w:r w:rsidRPr="00CD6659">
        <w:rPr>
          <w:rFonts w:asciiTheme="minorHAnsi" w:hAnsiTheme="minorHAnsi"/>
          <w:iCs/>
        </w:rPr>
        <w:t>Additional Protocol to the American Convention on Human Rights in the Area of Economic, Social and Cultural Rights ("Protocol of San Salvador")’</w:t>
      </w:r>
      <w:r w:rsidRPr="00CD6659">
        <w:rPr>
          <w:rFonts w:asciiTheme="minorHAnsi" w:hAnsiTheme="minorHAnsi"/>
        </w:rPr>
        <w:t>, 16 November 1999, A-52, Article 11.</w:t>
      </w:r>
    </w:p>
  </w:footnote>
  <w:footnote w:id="52">
    <w:p w:rsidR="00FE05CF" w:rsidRPr="00CD6659" w:rsidRDefault="00FE05CF" w:rsidP="00A07FBF">
      <w:pPr>
        <w:pStyle w:val="FootnoteText"/>
        <w:spacing w:line="240" w:lineRule="auto"/>
        <w:jc w:val="left"/>
        <w:rPr>
          <w:rFonts w:asciiTheme="minorHAnsi" w:hAnsiTheme="minorHAnsi"/>
          <w:b/>
        </w:rPr>
      </w:pPr>
      <w:r w:rsidRPr="00CD6659">
        <w:rPr>
          <w:rStyle w:val="FootnoteReference"/>
          <w:rFonts w:asciiTheme="minorHAnsi" w:hAnsiTheme="minorHAnsi"/>
        </w:rPr>
        <w:footnoteRef/>
      </w:r>
      <w:r w:rsidRPr="00CD6659">
        <w:rPr>
          <w:rFonts w:asciiTheme="minorHAnsi" w:hAnsiTheme="minorHAnsi"/>
        </w:rPr>
        <w:t xml:space="preserve"> Organization of African Unity, ‘</w:t>
      </w:r>
      <w:r w:rsidRPr="00CD6659">
        <w:rPr>
          <w:rFonts w:asciiTheme="minorHAnsi" w:hAnsiTheme="minorHAnsi"/>
          <w:iCs/>
        </w:rPr>
        <w:t>African Charter on Human and Peoples' Rights ("Banjul Charter")’</w:t>
      </w:r>
      <w:r w:rsidRPr="00CD6659">
        <w:rPr>
          <w:rFonts w:asciiTheme="minorHAnsi" w:hAnsiTheme="minorHAnsi"/>
        </w:rPr>
        <w:t>, 27 June 1981, CAB/LEG/67/3 rev. 5, 21 I.L.M. 58 (1982), Article 24. </w:t>
      </w:r>
    </w:p>
  </w:footnote>
  <w:footnote w:id="53">
    <w:p w:rsidR="00FE05CF" w:rsidRPr="00CD6659" w:rsidRDefault="00FE05CF" w:rsidP="00A07FBF">
      <w:pPr>
        <w:pStyle w:val="FootnoteText"/>
        <w:spacing w:line="240" w:lineRule="auto"/>
        <w:jc w:val="left"/>
        <w:rPr>
          <w:rFonts w:asciiTheme="minorHAnsi" w:hAnsiTheme="minorHAnsi"/>
          <w:b/>
        </w:rPr>
      </w:pPr>
      <w:r w:rsidRPr="00CD6659">
        <w:rPr>
          <w:rStyle w:val="FootnoteReference"/>
          <w:rFonts w:asciiTheme="minorHAnsi" w:hAnsiTheme="minorHAnsi"/>
        </w:rPr>
        <w:footnoteRef/>
      </w:r>
      <w:r w:rsidRPr="00CD6659">
        <w:rPr>
          <w:rFonts w:asciiTheme="minorHAnsi" w:hAnsiTheme="minorHAnsi"/>
        </w:rPr>
        <w:t xml:space="preserve"> </w:t>
      </w:r>
      <w:proofErr w:type="gramStart"/>
      <w:r w:rsidR="00512C5B">
        <w:rPr>
          <w:rFonts w:asciiTheme="minorHAnsi" w:hAnsiTheme="minorHAnsi"/>
        </w:rPr>
        <w:t xml:space="preserve">GA </w:t>
      </w:r>
      <w:r w:rsidRPr="00CD6659">
        <w:rPr>
          <w:rFonts w:asciiTheme="minorHAnsi" w:hAnsiTheme="minorHAnsi"/>
        </w:rPr>
        <w:t>Res 61/295, ‘</w:t>
      </w:r>
      <w:r w:rsidRPr="00CD6659">
        <w:rPr>
          <w:rFonts w:asciiTheme="minorHAnsi" w:hAnsiTheme="minorHAnsi"/>
          <w:iCs/>
        </w:rPr>
        <w:t>United Nations Declaration on the Rights of Indigenous Peoples’</w:t>
      </w:r>
      <w:r w:rsidRPr="00CD6659">
        <w:rPr>
          <w:rFonts w:asciiTheme="minorHAnsi" w:hAnsiTheme="minorHAnsi"/>
        </w:rPr>
        <w:t>, 2 October 2007, UN Doc.</w:t>
      </w:r>
      <w:proofErr w:type="gramEnd"/>
      <w:r w:rsidRPr="00CD6659">
        <w:rPr>
          <w:rFonts w:asciiTheme="minorHAnsi" w:hAnsiTheme="minorHAnsi"/>
        </w:rPr>
        <w:t xml:space="preserve"> </w:t>
      </w:r>
      <w:proofErr w:type="gramStart"/>
      <w:r w:rsidRPr="00CD6659">
        <w:rPr>
          <w:rFonts w:asciiTheme="minorHAnsi" w:hAnsiTheme="minorHAnsi"/>
        </w:rPr>
        <w:t>A/RES/61/295, Article 29.</w:t>
      </w:r>
      <w:proofErr w:type="gramEnd"/>
    </w:p>
  </w:footnote>
  <w:footnote w:id="54">
    <w:p w:rsidR="00FE05CF" w:rsidRPr="00CD6659" w:rsidRDefault="00FE05CF" w:rsidP="00A07FBF">
      <w:pPr>
        <w:pStyle w:val="FootnoteText"/>
        <w:spacing w:line="240" w:lineRule="auto"/>
        <w:rPr>
          <w:rFonts w:asciiTheme="minorHAnsi" w:hAnsiTheme="minorHAnsi"/>
        </w:rPr>
      </w:pPr>
      <w:r w:rsidRPr="00CD6659">
        <w:rPr>
          <w:rStyle w:val="FootnoteReference"/>
          <w:rFonts w:asciiTheme="minorHAnsi" w:hAnsiTheme="minorHAnsi"/>
        </w:rPr>
        <w:footnoteRef/>
      </w:r>
      <w:r w:rsidRPr="00CD6659">
        <w:rPr>
          <w:rFonts w:asciiTheme="minorHAnsi" w:hAnsiTheme="minorHAnsi"/>
        </w:rPr>
        <w:t xml:space="preserve"> See e.g. CHR Res 1999/23, ‘Adverse effects of the illicit movement and dumping of toxic and dangerous products and wastes on the enjoyment of human rights’, 26 April 1999, UN Doc. E/CN.4/1999/167, </w:t>
      </w:r>
      <w:proofErr w:type="gramStart"/>
      <w:r w:rsidRPr="00CD6659">
        <w:rPr>
          <w:rFonts w:asciiTheme="minorHAnsi" w:hAnsiTheme="minorHAnsi"/>
        </w:rPr>
        <w:t>p.100 ;</w:t>
      </w:r>
      <w:proofErr w:type="gramEnd"/>
      <w:r w:rsidRPr="00CD6659">
        <w:rPr>
          <w:rFonts w:asciiTheme="minorHAnsi" w:hAnsiTheme="minorHAnsi"/>
        </w:rPr>
        <w:t xml:space="preserve"> CHR Res 2000/72, ‘Adverse effects of the illicit movement and dumping of toxic and dangerous products and wastes on the enjoyment of human rights’,  26 April 2000, UN Doc. E/CN.4/2000/72. </w:t>
      </w:r>
    </w:p>
  </w:footnote>
  <w:footnote w:id="55">
    <w:p w:rsidR="00FE05CF" w:rsidRPr="00CD6659" w:rsidRDefault="00FE05CF" w:rsidP="00A07FBF">
      <w:pPr>
        <w:pStyle w:val="FootnoteText"/>
        <w:spacing w:line="240" w:lineRule="auto"/>
        <w:jc w:val="left"/>
        <w:rPr>
          <w:rFonts w:asciiTheme="minorHAnsi" w:hAnsiTheme="minorHAnsi"/>
          <w:b/>
        </w:rPr>
      </w:pPr>
      <w:r w:rsidRPr="00CD6659">
        <w:rPr>
          <w:rStyle w:val="FootnoteReference"/>
          <w:rFonts w:asciiTheme="minorHAnsi" w:hAnsiTheme="minorHAnsi"/>
        </w:rPr>
        <w:footnoteRef/>
      </w:r>
      <w:r w:rsidRPr="00CD6659">
        <w:rPr>
          <w:rFonts w:asciiTheme="minorHAnsi" w:hAnsiTheme="minorHAnsi"/>
        </w:rPr>
        <w:t xml:space="preserve"> CHR Res 1995/81, ‘Adverse effects of the illicit movement and dumping of toxic and dangerous products and wastes on the enjoyment of human rights’, 8 March 1995, UN Doc. E/CN.4/RES/1995/81.</w:t>
      </w:r>
    </w:p>
  </w:footnote>
  <w:footnote w:id="56">
    <w:p w:rsidR="00FE05CF" w:rsidRPr="00CD6659" w:rsidRDefault="00FE05CF" w:rsidP="00A07FBF">
      <w:pPr>
        <w:autoSpaceDE w:val="0"/>
        <w:autoSpaceDN w:val="0"/>
        <w:adjustRightInd w:val="0"/>
        <w:spacing w:after="0"/>
        <w:rPr>
          <w:rFonts w:cs="GaramondThree"/>
          <w:sz w:val="20"/>
          <w:szCs w:val="20"/>
        </w:rPr>
      </w:pPr>
      <w:r w:rsidRPr="00CD6659">
        <w:rPr>
          <w:rStyle w:val="FootnoteReference"/>
          <w:sz w:val="20"/>
          <w:szCs w:val="20"/>
        </w:rPr>
        <w:footnoteRef/>
      </w:r>
      <w:r w:rsidRPr="00CD6659">
        <w:rPr>
          <w:sz w:val="20"/>
          <w:szCs w:val="20"/>
        </w:rPr>
        <w:t xml:space="preserve"> </w:t>
      </w:r>
      <w:proofErr w:type="gramStart"/>
      <w:r w:rsidRPr="00CD6659">
        <w:rPr>
          <w:sz w:val="20"/>
          <w:szCs w:val="20"/>
        </w:rPr>
        <w:t xml:space="preserve">Common Article 1 </w:t>
      </w:r>
      <w:r w:rsidRPr="00CD6659">
        <w:rPr>
          <w:rFonts w:cs="GaramondThree"/>
          <w:sz w:val="20"/>
          <w:szCs w:val="20"/>
        </w:rPr>
        <w:t>GA Res. 2200A (XXI), ‘International Covenant on Economic, Social and Cultural Rights’, 16 December 1966, UN Doc.</w:t>
      </w:r>
      <w:proofErr w:type="gramEnd"/>
      <w:r w:rsidRPr="00CD6659">
        <w:rPr>
          <w:rFonts w:cs="GaramondThree"/>
          <w:sz w:val="20"/>
          <w:szCs w:val="20"/>
        </w:rPr>
        <w:t xml:space="preserve"> A/</w:t>
      </w:r>
      <w:proofErr w:type="gramStart"/>
      <w:r w:rsidRPr="00CD6659">
        <w:rPr>
          <w:rFonts w:cs="GaramondThree"/>
          <w:sz w:val="20"/>
          <w:szCs w:val="20"/>
        </w:rPr>
        <w:t>6316,</w:t>
      </w:r>
      <w:proofErr w:type="gramEnd"/>
      <w:r w:rsidRPr="00CD6659">
        <w:rPr>
          <w:rFonts w:cs="GaramondThree"/>
          <w:sz w:val="20"/>
          <w:szCs w:val="20"/>
        </w:rPr>
        <w:t xml:space="preserve"> </w:t>
      </w:r>
      <w:r w:rsidRPr="00CD6659">
        <w:rPr>
          <w:rFonts w:cs="GaramondThree-Italic"/>
          <w:i/>
          <w:iCs/>
          <w:sz w:val="20"/>
          <w:szCs w:val="20"/>
        </w:rPr>
        <w:t xml:space="preserve">entered into force </w:t>
      </w:r>
      <w:r w:rsidRPr="00CD6659">
        <w:rPr>
          <w:rFonts w:cs="GaramondThree"/>
          <w:sz w:val="20"/>
          <w:szCs w:val="20"/>
        </w:rPr>
        <w:t xml:space="preserve">3 January 1976 and GA Res. 2200A (XXI), ‘International Covenant on Civil and Political Rights’, 16 December 1966, UN Doc. A/6316 (1966), </w:t>
      </w:r>
      <w:r w:rsidRPr="00CD6659">
        <w:rPr>
          <w:rFonts w:cs="GaramondThree-Italic"/>
          <w:i/>
          <w:iCs/>
          <w:sz w:val="20"/>
          <w:szCs w:val="20"/>
        </w:rPr>
        <w:t xml:space="preserve">entered into force </w:t>
      </w:r>
      <w:r w:rsidRPr="00CD6659">
        <w:rPr>
          <w:rFonts w:cs="GaramondThree"/>
          <w:sz w:val="20"/>
          <w:szCs w:val="20"/>
        </w:rPr>
        <w:t xml:space="preserve">23 March 1976, Article 1 (1). </w:t>
      </w:r>
    </w:p>
  </w:footnote>
  <w:footnote w:id="57">
    <w:p w:rsidR="00FE05CF" w:rsidRPr="00CD6659" w:rsidRDefault="00FE05CF" w:rsidP="00A07FBF">
      <w:pPr>
        <w:pStyle w:val="FootnoteText"/>
        <w:spacing w:line="240" w:lineRule="auto"/>
        <w:jc w:val="left"/>
        <w:rPr>
          <w:rFonts w:asciiTheme="minorHAnsi" w:hAnsiTheme="minorHAnsi"/>
          <w:lang w:val="es-ES_tradnl"/>
        </w:rPr>
      </w:pPr>
      <w:r w:rsidRPr="00CD6659">
        <w:rPr>
          <w:rStyle w:val="FootnoteReference"/>
          <w:rFonts w:asciiTheme="minorHAnsi" w:hAnsiTheme="minorHAnsi"/>
        </w:rPr>
        <w:footnoteRef/>
      </w:r>
      <w:r w:rsidRPr="00CD6659">
        <w:rPr>
          <w:rFonts w:asciiTheme="minorHAnsi" w:hAnsiTheme="minorHAnsi"/>
        </w:rPr>
        <w:t xml:space="preserve"> </w:t>
      </w:r>
      <w:proofErr w:type="gramStart"/>
      <w:r w:rsidRPr="00CD6659">
        <w:rPr>
          <w:rFonts w:asciiTheme="minorHAnsi" w:hAnsiTheme="minorHAnsi"/>
        </w:rPr>
        <w:t>HRC Res 8/5, ‘Promotion of a democratic and equitable international order’, 18 June 2008, UN Doc.</w:t>
      </w:r>
      <w:proofErr w:type="gramEnd"/>
      <w:r w:rsidRPr="00CD6659">
        <w:rPr>
          <w:rFonts w:asciiTheme="minorHAnsi" w:hAnsiTheme="minorHAnsi"/>
        </w:rPr>
        <w:t xml:space="preserve"> </w:t>
      </w:r>
      <w:r w:rsidRPr="00CD6659">
        <w:rPr>
          <w:rFonts w:asciiTheme="minorHAnsi" w:hAnsiTheme="minorHAnsi"/>
          <w:lang w:val="es-ES_tradnl"/>
        </w:rPr>
        <w:t xml:space="preserve">A/HRC/RES/8/5. </w:t>
      </w:r>
    </w:p>
  </w:footnote>
  <w:footnote w:id="58">
    <w:p w:rsidR="00FE05CF" w:rsidRPr="00CD6659" w:rsidRDefault="00FE05CF" w:rsidP="00A07FBF">
      <w:pPr>
        <w:pStyle w:val="FootnoteText"/>
        <w:spacing w:line="240" w:lineRule="auto"/>
        <w:jc w:val="left"/>
        <w:rPr>
          <w:rFonts w:asciiTheme="minorHAnsi" w:hAnsiTheme="minorHAnsi"/>
          <w:lang w:val="es-ES_tradnl"/>
        </w:rPr>
      </w:pPr>
      <w:r w:rsidRPr="00CD6659">
        <w:rPr>
          <w:rStyle w:val="FootnoteReference"/>
          <w:rFonts w:asciiTheme="minorHAnsi" w:hAnsiTheme="minorHAnsi"/>
        </w:rPr>
        <w:footnoteRef/>
      </w:r>
      <w:r w:rsidRPr="00CD6659">
        <w:rPr>
          <w:rFonts w:asciiTheme="minorHAnsi" w:hAnsiTheme="minorHAnsi"/>
          <w:lang w:val="es-ES_tradnl"/>
        </w:rPr>
        <w:t xml:space="preserve"> </w:t>
      </w:r>
      <w:proofErr w:type="spellStart"/>
      <w:r w:rsidRPr="00CD6659">
        <w:rPr>
          <w:rFonts w:asciiTheme="minorHAnsi" w:hAnsiTheme="minorHAnsi"/>
          <w:i/>
          <w:lang w:val="es-ES_tradnl"/>
        </w:rPr>
        <w:t>Ibid</w:t>
      </w:r>
      <w:proofErr w:type="spellEnd"/>
      <w:r w:rsidRPr="00CD6659">
        <w:rPr>
          <w:rFonts w:asciiTheme="minorHAnsi" w:hAnsiTheme="minorHAnsi"/>
          <w:i/>
          <w:lang w:val="es-ES_tradnl"/>
        </w:rPr>
        <w:t>.</w:t>
      </w:r>
      <w:r w:rsidRPr="00CD6659">
        <w:rPr>
          <w:rFonts w:asciiTheme="minorHAnsi" w:hAnsiTheme="minorHAnsi"/>
          <w:lang w:val="es-ES_tradnl"/>
        </w:rPr>
        <w:t xml:space="preserve">, para.3 (a)-(p). </w:t>
      </w:r>
    </w:p>
  </w:footnote>
  <w:footnote w:id="59">
    <w:p w:rsidR="00FE05CF" w:rsidRPr="00CD6659" w:rsidRDefault="00FE05CF" w:rsidP="00A07FBF">
      <w:pPr>
        <w:pStyle w:val="FootnoteText"/>
        <w:spacing w:line="240" w:lineRule="auto"/>
        <w:jc w:val="left"/>
        <w:rPr>
          <w:rFonts w:asciiTheme="minorHAnsi" w:hAnsiTheme="minorHAnsi"/>
          <w:lang w:val="es-ES_tradnl"/>
        </w:rPr>
      </w:pPr>
      <w:r w:rsidRPr="00CD6659">
        <w:rPr>
          <w:rStyle w:val="FootnoteReference"/>
          <w:rFonts w:asciiTheme="minorHAnsi" w:hAnsiTheme="minorHAnsi"/>
        </w:rPr>
        <w:footnoteRef/>
      </w:r>
      <w:r w:rsidRPr="00CD6659">
        <w:rPr>
          <w:rFonts w:asciiTheme="minorHAnsi" w:hAnsiTheme="minorHAnsi"/>
          <w:lang w:val="es-ES_tradnl"/>
        </w:rPr>
        <w:t xml:space="preserve"> </w:t>
      </w:r>
      <w:proofErr w:type="spellStart"/>
      <w:r w:rsidRPr="00CD6659">
        <w:rPr>
          <w:rFonts w:asciiTheme="minorHAnsi" w:hAnsiTheme="minorHAnsi"/>
          <w:i/>
          <w:lang w:val="es-ES_tradnl"/>
        </w:rPr>
        <w:t>Ibid</w:t>
      </w:r>
      <w:proofErr w:type="spellEnd"/>
      <w:r w:rsidRPr="00CD6659">
        <w:rPr>
          <w:rFonts w:asciiTheme="minorHAnsi" w:hAnsiTheme="minorHAnsi"/>
          <w:i/>
          <w:lang w:val="es-ES_tradnl"/>
        </w:rPr>
        <w:t>.</w:t>
      </w:r>
      <w:r w:rsidRPr="00CD6659">
        <w:rPr>
          <w:rFonts w:asciiTheme="minorHAnsi" w:hAnsiTheme="minorHAnsi"/>
          <w:lang w:val="es-ES_tradnl"/>
        </w:rPr>
        <w:t xml:space="preserve">, para.3 (p). </w:t>
      </w:r>
    </w:p>
  </w:footnote>
  <w:footnote w:id="60">
    <w:p w:rsidR="00FE05CF" w:rsidRPr="00CD6659" w:rsidRDefault="00FE05CF" w:rsidP="00A07FBF">
      <w:pPr>
        <w:pStyle w:val="FootnoteText"/>
        <w:spacing w:line="240" w:lineRule="auto"/>
        <w:jc w:val="left"/>
        <w:rPr>
          <w:rFonts w:asciiTheme="minorHAnsi" w:hAnsiTheme="minorHAnsi"/>
          <w:lang w:val="es-ES_tradnl"/>
        </w:rPr>
      </w:pPr>
      <w:r w:rsidRPr="00CD6659">
        <w:rPr>
          <w:rStyle w:val="FootnoteReference"/>
          <w:rFonts w:asciiTheme="minorHAnsi" w:hAnsiTheme="minorHAnsi"/>
        </w:rPr>
        <w:footnoteRef/>
      </w:r>
      <w:r w:rsidRPr="00CD6659">
        <w:rPr>
          <w:rFonts w:asciiTheme="minorHAnsi" w:hAnsiTheme="minorHAnsi"/>
          <w:lang w:val="es-ES_tradnl"/>
        </w:rPr>
        <w:t xml:space="preserve"> </w:t>
      </w:r>
      <w:proofErr w:type="spellStart"/>
      <w:r w:rsidRPr="00CD6659">
        <w:rPr>
          <w:rFonts w:asciiTheme="minorHAnsi" w:hAnsiTheme="minorHAnsi"/>
          <w:i/>
          <w:lang w:val="es-ES_tradnl"/>
        </w:rPr>
        <w:t>Ibid</w:t>
      </w:r>
      <w:proofErr w:type="spellEnd"/>
      <w:r w:rsidRPr="00CD6659">
        <w:rPr>
          <w:rFonts w:asciiTheme="minorHAnsi" w:hAnsiTheme="minorHAnsi"/>
          <w:i/>
          <w:lang w:val="es-ES_tradnl"/>
        </w:rPr>
        <w:t>.</w:t>
      </w:r>
      <w:r w:rsidRPr="00CD6659">
        <w:rPr>
          <w:rFonts w:asciiTheme="minorHAnsi" w:hAnsiTheme="minorHAnsi"/>
          <w:lang w:val="es-ES_tradnl"/>
        </w:rPr>
        <w:t>, para.3 (g).</w:t>
      </w:r>
    </w:p>
  </w:footnote>
  <w:footnote w:id="61">
    <w:p w:rsidR="00FE05CF" w:rsidRPr="00CD6659" w:rsidRDefault="00FE05CF" w:rsidP="00A07FBF">
      <w:pPr>
        <w:pStyle w:val="FootnoteText"/>
        <w:spacing w:line="240" w:lineRule="auto"/>
        <w:jc w:val="left"/>
        <w:rPr>
          <w:rFonts w:asciiTheme="minorHAnsi" w:hAnsiTheme="minorHAnsi"/>
          <w:lang w:val="es-ES_tradnl"/>
        </w:rPr>
      </w:pPr>
      <w:r w:rsidRPr="00CD6659">
        <w:rPr>
          <w:rStyle w:val="FootnoteReference"/>
          <w:rFonts w:asciiTheme="minorHAnsi" w:hAnsiTheme="minorHAnsi"/>
        </w:rPr>
        <w:footnoteRef/>
      </w:r>
      <w:r w:rsidRPr="00CD6659">
        <w:rPr>
          <w:rFonts w:asciiTheme="minorHAnsi" w:hAnsiTheme="minorHAnsi"/>
          <w:lang w:val="es-ES_tradnl"/>
        </w:rPr>
        <w:t xml:space="preserve"> </w:t>
      </w:r>
      <w:proofErr w:type="spellStart"/>
      <w:r w:rsidRPr="00CD6659">
        <w:rPr>
          <w:rFonts w:asciiTheme="minorHAnsi" w:hAnsiTheme="minorHAnsi"/>
          <w:i/>
          <w:lang w:val="es-ES_tradnl"/>
        </w:rPr>
        <w:t>Ibid</w:t>
      </w:r>
      <w:proofErr w:type="spellEnd"/>
      <w:r w:rsidRPr="00CD6659">
        <w:rPr>
          <w:rFonts w:asciiTheme="minorHAnsi" w:hAnsiTheme="minorHAnsi"/>
          <w:i/>
          <w:lang w:val="es-ES_tradnl"/>
        </w:rPr>
        <w:t>.</w:t>
      </w:r>
      <w:r w:rsidRPr="00CD6659">
        <w:rPr>
          <w:rFonts w:asciiTheme="minorHAnsi" w:hAnsiTheme="minorHAnsi"/>
          <w:lang w:val="es-ES_tradnl"/>
        </w:rPr>
        <w:t>, para.3 (n).</w:t>
      </w:r>
    </w:p>
  </w:footnote>
  <w:footnote w:id="62">
    <w:p w:rsidR="00FE05CF" w:rsidRPr="00CD6659" w:rsidRDefault="00FE05CF" w:rsidP="00A07FBF">
      <w:pPr>
        <w:pStyle w:val="FootnoteText"/>
        <w:spacing w:line="240" w:lineRule="auto"/>
        <w:jc w:val="left"/>
        <w:rPr>
          <w:rFonts w:asciiTheme="minorHAnsi" w:hAnsiTheme="minorHAnsi"/>
          <w:b/>
        </w:rPr>
      </w:pPr>
      <w:r w:rsidRPr="00CD6659">
        <w:rPr>
          <w:rStyle w:val="FootnoteReference"/>
          <w:rFonts w:asciiTheme="minorHAnsi" w:hAnsiTheme="minorHAnsi"/>
        </w:rPr>
        <w:footnoteRef/>
      </w:r>
      <w:r w:rsidRPr="00CD6659">
        <w:rPr>
          <w:rFonts w:asciiTheme="minorHAnsi" w:hAnsiTheme="minorHAnsi"/>
        </w:rPr>
        <w:t xml:space="preserve"> </w:t>
      </w:r>
      <w:proofErr w:type="gramStart"/>
      <w:r w:rsidRPr="00CD6659">
        <w:rPr>
          <w:rFonts w:asciiTheme="minorHAnsi" w:hAnsiTheme="minorHAnsi"/>
        </w:rPr>
        <w:t>Organization of African Unity, ‘</w:t>
      </w:r>
      <w:r w:rsidRPr="00CD6659">
        <w:rPr>
          <w:rFonts w:asciiTheme="minorHAnsi" w:hAnsiTheme="minorHAnsi"/>
          <w:iCs/>
        </w:rPr>
        <w:t>African Charter on Human and Peoples' Rights ("Banjul Charter")’</w:t>
      </w:r>
      <w:r w:rsidRPr="00CD6659">
        <w:rPr>
          <w:rFonts w:asciiTheme="minorHAnsi" w:hAnsiTheme="minorHAnsi"/>
        </w:rPr>
        <w:t>, 27 June 1981, CAB/LEG/67/3 rev. 5, 21 I.L.M. 58 (1982).</w:t>
      </w:r>
      <w:proofErr w:type="gramEnd"/>
    </w:p>
  </w:footnote>
  <w:footnote w:id="63">
    <w:p w:rsidR="00FE05CF" w:rsidRPr="00CD6659" w:rsidRDefault="00FE05CF" w:rsidP="00A07FBF">
      <w:pPr>
        <w:pStyle w:val="FootnoteText"/>
        <w:spacing w:line="240" w:lineRule="auto"/>
        <w:jc w:val="left"/>
        <w:rPr>
          <w:rFonts w:asciiTheme="minorHAnsi" w:hAnsiTheme="minorHAnsi"/>
          <w:b/>
        </w:rPr>
      </w:pPr>
      <w:r w:rsidRPr="00CD6659">
        <w:rPr>
          <w:rStyle w:val="FootnoteReference"/>
          <w:rFonts w:asciiTheme="minorHAnsi" w:hAnsiTheme="minorHAnsi"/>
        </w:rPr>
        <w:footnoteRef/>
      </w:r>
      <w:r w:rsidRPr="00CD6659">
        <w:rPr>
          <w:rFonts w:asciiTheme="minorHAnsi" w:hAnsiTheme="minorHAnsi"/>
        </w:rPr>
        <w:t xml:space="preserve"> See generally </w:t>
      </w:r>
      <w:proofErr w:type="spellStart"/>
      <w:r w:rsidRPr="00CD6659">
        <w:rPr>
          <w:rFonts w:asciiTheme="minorHAnsi" w:hAnsiTheme="minorHAnsi"/>
        </w:rPr>
        <w:t>Umozurike</w:t>
      </w:r>
      <w:proofErr w:type="spellEnd"/>
      <w:r w:rsidRPr="00CD6659">
        <w:rPr>
          <w:rFonts w:asciiTheme="minorHAnsi" w:hAnsiTheme="minorHAnsi"/>
        </w:rPr>
        <w:t xml:space="preserve">, </w:t>
      </w:r>
      <w:r w:rsidR="00512C5B">
        <w:rPr>
          <w:rFonts w:asciiTheme="minorHAnsi" w:hAnsiTheme="minorHAnsi"/>
        </w:rPr>
        <w:t xml:space="preserve">U.O., (1983), </w:t>
      </w:r>
      <w:r w:rsidRPr="00CD6659">
        <w:rPr>
          <w:rFonts w:asciiTheme="minorHAnsi" w:hAnsiTheme="minorHAnsi"/>
        </w:rPr>
        <w:t>‘The African Charter on Human and People’s Rights’</w:t>
      </w:r>
      <w:r w:rsidR="00512C5B">
        <w:rPr>
          <w:rFonts w:asciiTheme="minorHAnsi" w:hAnsiTheme="minorHAnsi"/>
        </w:rPr>
        <w:t>,</w:t>
      </w:r>
      <w:r w:rsidRPr="00CD6659">
        <w:rPr>
          <w:rFonts w:asciiTheme="minorHAnsi" w:hAnsiTheme="minorHAnsi"/>
        </w:rPr>
        <w:t xml:space="preserve"> </w:t>
      </w:r>
      <w:r w:rsidRPr="00CD6659">
        <w:rPr>
          <w:rFonts w:asciiTheme="minorHAnsi" w:hAnsiTheme="minorHAnsi"/>
          <w:i/>
        </w:rPr>
        <w:t>American Journal of International Law</w:t>
      </w:r>
      <w:r w:rsidRPr="00CD6659">
        <w:rPr>
          <w:rFonts w:asciiTheme="minorHAnsi" w:hAnsiTheme="minorHAnsi"/>
        </w:rPr>
        <w:t xml:space="preserve"> 78, </w:t>
      </w:r>
      <w:r w:rsidR="00512C5B">
        <w:rPr>
          <w:rFonts w:asciiTheme="minorHAnsi" w:hAnsiTheme="minorHAnsi"/>
        </w:rPr>
        <w:t xml:space="preserve">p. </w:t>
      </w:r>
      <w:r w:rsidRPr="00CD6659">
        <w:rPr>
          <w:rFonts w:asciiTheme="minorHAnsi" w:hAnsiTheme="minorHAnsi"/>
        </w:rPr>
        <w:t xml:space="preserve">902; </w:t>
      </w:r>
      <w:proofErr w:type="spellStart"/>
      <w:r w:rsidRPr="00CD6659">
        <w:rPr>
          <w:rFonts w:asciiTheme="minorHAnsi" w:hAnsiTheme="minorHAnsi" w:cs="Arial"/>
        </w:rPr>
        <w:t>Heyns</w:t>
      </w:r>
      <w:proofErr w:type="spellEnd"/>
      <w:r w:rsidRPr="00CD6659">
        <w:rPr>
          <w:rFonts w:asciiTheme="minorHAnsi" w:hAnsiTheme="minorHAnsi" w:cs="Arial"/>
        </w:rPr>
        <w:t xml:space="preserve">, </w:t>
      </w:r>
      <w:r w:rsidRPr="00CD6659">
        <w:rPr>
          <w:rFonts w:asciiTheme="minorHAnsi" w:hAnsiTheme="minorHAnsi"/>
        </w:rPr>
        <w:t xml:space="preserve">above n </w:t>
      </w:r>
      <w:r w:rsidRPr="00CD6659">
        <w:rPr>
          <w:rFonts w:asciiTheme="minorHAnsi" w:hAnsiTheme="minorHAnsi" w:cs="Arial"/>
        </w:rPr>
        <w:fldChar w:fldCharType="begin"/>
      </w:r>
      <w:r w:rsidRPr="00CD6659">
        <w:rPr>
          <w:rFonts w:asciiTheme="minorHAnsi" w:hAnsiTheme="minorHAnsi" w:cs="Arial"/>
        </w:rPr>
        <w:instrText xml:space="preserve"> NOTEREF _Ref354514277 \h  \* MERGEFORMAT </w:instrText>
      </w:r>
      <w:r w:rsidRPr="00CD6659">
        <w:rPr>
          <w:rFonts w:asciiTheme="minorHAnsi" w:hAnsiTheme="minorHAnsi" w:cs="Arial"/>
        </w:rPr>
      </w:r>
      <w:r w:rsidRPr="00CD6659">
        <w:rPr>
          <w:rFonts w:asciiTheme="minorHAnsi" w:hAnsiTheme="minorHAnsi" w:cs="Arial"/>
        </w:rPr>
        <w:fldChar w:fldCharType="separate"/>
      </w:r>
      <w:r w:rsidR="00512C5B">
        <w:rPr>
          <w:rFonts w:asciiTheme="minorHAnsi" w:hAnsiTheme="minorHAnsi" w:cs="Arial"/>
        </w:rPr>
        <w:t>13</w:t>
      </w:r>
      <w:r w:rsidRPr="00CD6659">
        <w:rPr>
          <w:rFonts w:asciiTheme="minorHAnsi" w:hAnsiTheme="minorHAnsi" w:cs="Arial"/>
        </w:rPr>
        <w:fldChar w:fldCharType="end"/>
      </w:r>
      <w:r w:rsidRPr="00CD6659">
        <w:rPr>
          <w:rFonts w:asciiTheme="minorHAnsi" w:hAnsiTheme="minorHAnsi" w:cs="Arial"/>
        </w:rPr>
        <w:t xml:space="preserve">, </w:t>
      </w:r>
      <w:r w:rsidR="00512C5B">
        <w:rPr>
          <w:rFonts w:asciiTheme="minorHAnsi" w:hAnsiTheme="minorHAnsi" w:cs="Arial"/>
        </w:rPr>
        <w:t xml:space="preserve">p. </w:t>
      </w:r>
      <w:r w:rsidRPr="00CD6659">
        <w:rPr>
          <w:rFonts w:asciiTheme="minorHAnsi" w:hAnsiTheme="minorHAnsi" w:cs="Arial"/>
        </w:rPr>
        <w:t>679.</w:t>
      </w:r>
    </w:p>
  </w:footnote>
  <w:footnote w:id="64">
    <w:p w:rsidR="00FE05CF" w:rsidRPr="00CD6659" w:rsidRDefault="00FE05CF" w:rsidP="007B2F26">
      <w:pPr>
        <w:pStyle w:val="FootnoteText"/>
        <w:spacing w:line="240" w:lineRule="auto"/>
        <w:jc w:val="left"/>
        <w:rPr>
          <w:rFonts w:asciiTheme="minorHAnsi" w:hAnsiTheme="minorHAnsi"/>
          <w:b/>
        </w:rPr>
      </w:pPr>
      <w:r w:rsidRPr="00CD6659">
        <w:rPr>
          <w:rStyle w:val="FootnoteReference"/>
          <w:rFonts w:asciiTheme="minorHAnsi" w:hAnsiTheme="minorHAnsi"/>
        </w:rPr>
        <w:footnoteRef/>
      </w:r>
      <w:r w:rsidRPr="00CD6659">
        <w:rPr>
          <w:rFonts w:asciiTheme="minorHAnsi" w:hAnsiTheme="minorHAnsi"/>
        </w:rPr>
        <w:t xml:space="preserve"> See generally Crawford, </w:t>
      </w:r>
      <w:r w:rsidR="00512C5B">
        <w:rPr>
          <w:rFonts w:asciiTheme="minorHAnsi" w:hAnsiTheme="minorHAnsi"/>
          <w:i/>
        </w:rPr>
        <w:t xml:space="preserve">supra </w:t>
      </w:r>
      <w:r w:rsidR="00512C5B">
        <w:rPr>
          <w:rFonts w:asciiTheme="minorHAnsi" w:hAnsiTheme="minorHAnsi"/>
        </w:rPr>
        <w:t xml:space="preserve">n </w:t>
      </w:r>
      <w:r w:rsidR="00512C5B">
        <w:rPr>
          <w:rFonts w:asciiTheme="minorHAnsi" w:hAnsiTheme="minorHAnsi"/>
        </w:rPr>
        <w:fldChar w:fldCharType="begin"/>
      </w:r>
      <w:r w:rsidR="00512C5B">
        <w:rPr>
          <w:rFonts w:asciiTheme="minorHAnsi" w:hAnsiTheme="minorHAnsi"/>
        </w:rPr>
        <w:instrText xml:space="preserve"> NOTEREF _Ref354514537 \h </w:instrText>
      </w:r>
      <w:r w:rsidR="00512C5B">
        <w:rPr>
          <w:rFonts w:asciiTheme="minorHAnsi" w:hAnsiTheme="minorHAnsi"/>
        </w:rPr>
      </w:r>
      <w:r w:rsidR="00512C5B">
        <w:rPr>
          <w:rFonts w:asciiTheme="minorHAnsi" w:hAnsiTheme="minorHAnsi"/>
        </w:rPr>
        <w:fldChar w:fldCharType="separate"/>
      </w:r>
      <w:r w:rsidR="00512C5B">
        <w:rPr>
          <w:rFonts w:asciiTheme="minorHAnsi" w:hAnsiTheme="minorHAnsi"/>
        </w:rPr>
        <w:t>15</w:t>
      </w:r>
      <w:r w:rsidR="00512C5B">
        <w:rPr>
          <w:rFonts w:asciiTheme="minorHAnsi" w:hAnsiTheme="minorHAnsi"/>
        </w:rPr>
        <w:fldChar w:fldCharType="end"/>
      </w:r>
      <w:r w:rsidRPr="00CD6659">
        <w:rPr>
          <w:rFonts w:asciiTheme="minorHAnsi" w:hAnsiTheme="minorHAnsi"/>
        </w:rPr>
        <w:t>.</w:t>
      </w:r>
      <w:r w:rsidRPr="00CD6659">
        <w:rPr>
          <w:rFonts w:asciiTheme="minorHAnsi" w:hAnsiTheme="minorHAnsi"/>
          <w:i/>
        </w:rPr>
        <w:t xml:space="preserve"> </w:t>
      </w:r>
    </w:p>
  </w:footnote>
  <w:footnote w:id="65">
    <w:p w:rsidR="00FE05CF" w:rsidRPr="00CD6659" w:rsidRDefault="00FE05CF" w:rsidP="007B2F26">
      <w:pPr>
        <w:pStyle w:val="FootnoteText"/>
        <w:spacing w:before="240" w:line="240" w:lineRule="auto"/>
        <w:jc w:val="left"/>
        <w:rPr>
          <w:rFonts w:asciiTheme="minorHAnsi" w:hAnsiTheme="minorHAnsi"/>
          <w:b/>
        </w:rPr>
      </w:pPr>
      <w:r w:rsidRPr="00CD6659">
        <w:rPr>
          <w:rStyle w:val="FootnoteReference"/>
          <w:rFonts w:asciiTheme="minorHAnsi" w:hAnsiTheme="minorHAnsi"/>
        </w:rPr>
        <w:footnoteRef/>
      </w:r>
      <w:r w:rsidRPr="00CD6659">
        <w:rPr>
          <w:rFonts w:asciiTheme="minorHAnsi" w:hAnsiTheme="minorHAnsi"/>
        </w:rPr>
        <w:t xml:space="preserve"> With few exceptions where the right belonged to an individual but could only be exercised within as part of a collective or group. </w:t>
      </w:r>
    </w:p>
  </w:footnote>
  <w:footnote w:id="66">
    <w:p w:rsidR="00FE05CF" w:rsidRPr="00CD6659" w:rsidRDefault="00FE05CF" w:rsidP="00A07FBF">
      <w:pPr>
        <w:pStyle w:val="FootnoteText"/>
        <w:spacing w:line="240" w:lineRule="auto"/>
        <w:jc w:val="left"/>
        <w:rPr>
          <w:rFonts w:asciiTheme="minorHAnsi" w:hAnsiTheme="minorHAnsi"/>
        </w:rPr>
      </w:pPr>
      <w:r w:rsidRPr="00CD6659">
        <w:rPr>
          <w:rStyle w:val="FootnoteReference"/>
          <w:rFonts w:asciiTheme="minorHAnsi" w:hAnsiTheme="minorHAnsi"/>
        </w:rPr>
        <w:footnoteRef/>
      </w:r>
      <w:r w:rsidRPr="00CD6659">
        <w:rPr>
          <w:rFonts w:asciiTheme="minorHAnsi" w:hAnsiTheme="minorHAnsi"/>
        </w:rPr>
        <w:t xml:space="preserve"> For a historical overview of collective, group and peoples’ rights, see generally I. </w:t>
      </w:r>
      <w:proofErr w:type="spellStart"/>
      <w:r w:rsidRPr="00CD6659">
        <w:rPr>
          <w:rFonts w:asciiTheme="minorHAnsi" w:hAnsiTheme="minorHAnsi"/>
        </w:rPr>
        <w:t>Brownlie</w:t>
      </w:r>
      <w:proofErr w:type="spellEnd"/>
      <w:r w:rsidRPr="00CD6659">
        <w:rPr>
          <w:rFonts w:asciiTheme="minorHAnsi" w:hAnsiTheme="minorHAnsi"/>
        </w:rPr>
        <w:t>, ‘The Rights of Peoples in Modern International Law’, in Crawford</w:t>
      </w:r>
      <w:r w:rsidR="00512C5B">
        <w:rPr>
          <w:rFonts w:asciiTheme="minorHAnsi" w:hAnsiTheme="minorHAnsi"/>
        </w:rPr>
        <w:t xml:space="preserve"> (</w:t>
      </w:r>
      <w:proofErr w:type="spellStart"/>
      <w:r w:rsidR="00512C5B">
        <w:rPr>
          <w:rFonts w:asciiTheme="minorHAnsi" w:hAnsiTheme="minorHAnsi"/>
        </w:rPr>
        <w:t>ed</w:t>
      </w:r>
      <w:proofErr w:type="spellEnd"/>
      <w:r w:rsidR="00512C5B">
        <w:rPr>
          <w:rFonts w:asciiTheme="minorHAnsi" w:hAnsiTheme="minorHAnsi"/>
        </w:rPr>
        <w:t xml:space="preserve">), </w:t>
      </w:r>
      <w:r w:rsidR="00512C5B">
        <w:rPr>
          <w:rFonts w:asciiTheme="minorHAnsi" w:hAnsiTheme="minorHAnsi"/>
          <w:i/>
        </w:rPr>
        <w:t xml:space="preserve">supra </w:t>
      </w:r>
      <w:r w:rsidR="00512C5B">
        <w:rPr>
          <w:rFonts w:asciiTheme="minorHAnsi" w:hAnsiTheme="minorHAnsi"/>
        </w:rPr>
        <w:t xml:space="preserve">n </w:t>
      </w:r>
      <w:r w:rsidR="00512C5B">
        <w:rPr>
          <w:rFonts w:asciiTheme="minorHAnsi" w:hAnsiTheme="minorHAnsi"/>
        </w:rPr>
        <w:fldChar w:fldCharType="begin"/>
      </w:r>
      <w:r w:rsidR="00512C5B">
        <w:rPr>
          <w:rFonts w:asciiTheme="minorHAnsi" w:hAnsiTheme="minorHAnsi"/>
        </w:rPr>
        <w:instrText xml:space="preserve"> NOTEREF _Ref354514537 \h </w:instrText>
      </w:r>
      <w:r w:rsidR="00512C5B">
        <w:rPr>
          <w:rFonts w:asciiTheme="minorHAnsi" w:hAnsiTheme="minorHAnsi"/>
        </w:rPr>
      </w:r>
      <w:r w:rsidR="00512C5B">
        <w:rPr>
          <w:rFonts w:asciiTheme="minorHAnsi" w:hAnsiTheme="minorHAnsi"/>
        </w:rPr>
        <w:fldChar w:fldCharType="separate"/>
      </w:r>
      <w:r w:rsidR="00512C5B">
        <w:rPr>
          <w:rFonts w:asciiTheme="minorHAnsi" w:hAnsiTheme="minorHAnsi"/>
        </w:rPr>
        <w:t>15</w:t>
      </w:r>
      <w:r w:rsidR="00512C5B">
        <w:rPr>
          <w:rFonts w:asciiTheme="minorHAnsi" w:hAnsiTheme="minorHAnsi"/>
        </w:rPr>
        <w:fldChar w:fldCharType="end"/>
      </w:r>
      <w:r w:rsidR="00512C5B">
        <w:rPr>
          <w:rFonts w:asciiTheme="minorHAnsi" w:hAnsiTheme="minorHAnsi"/>
        </w:rPr>
        <w:t xml:space="preserve">, pp. </w:t>
      </w:r>
      <w:r w:rsidRPr="00CD6659">
        <w:rPr>
          <w:rFonts w:asciiTheme="minorHAnsi" w:hAnsiTheme="minorHAnsi"/>
        </w:rPr>
        <w:t xml:space="preserve">1-16. </w:t>
      </w:r>
    </w:p>
  </w:footnote>
  <w:footnote w:id="67">
    <w:p w:rsidR="00FE05CF" w:rsidRPr="00CD6659" w:rsidRDefault="00FE05CF" w:rsidP="00A07FBF">
      <w:pPr>
        <w:pStyle w:val="FootnoteText"/>
        <w:spacing w:line="240" w:lineRule="auto"/>
        <w:jc w:val="left"/>
        <w:rPr>
          <w:rFonts w:asciiTheme="minorHAnsi" w:hAnsiTheme="minorHAnsi"/>
        </w:rPr>
      </w:pPr>
      <w:r w:rsidRPr="00CD6659">
        <w:rPr>
          <w:rStyle w:val="FootnoteReference"/>
          <w:rFonts w:asciiTheme="minorHAnsi" w:hAnsiTheme="minorHAnsi"/>
        </w:rPr>
        <w:footnoteRef/>
      </w:r>
      <w:r w:rsidRPr="00CD6659">
        <w:rPr>
          <w:rFonts w:asciiTheme="minorHAnsi" w:hAnsiTheme="minorHAnsi"/>
        </w:rPr>
        <w:t xml:space="preserve"> </w:t>
      </w:r>
      <w:proofErr w:type="gramStart"/>
      <w:r w:rsidRPr="00CD6659">
        <w:rPr>
          <w:rFonts w:asciiTheme="minorHAnsi" w:hAnsiTheme="minorHAnsi"/>
        </w:rPr>
        <w:t>HRC Res 17/6, ‘Mandate of the independent expert on human rights and international solidarity’, 6 July 2011, UN Doc.</w:t>
      </w:r>
      <w:proofErr w:type="gramEnd"/>
      <w:r w:rsidRPr="00CD6659">
        <w:rPr>
          <w:rFonts w:asciiTheme="minorHAnsi" w:hAnsiTheme="minorHAnsi"/>
        </w:rPr>
        <w:t xml:space="preserve"> A/HRC/RES/17/6, </w:t>
      </w:r>
      <w:proofErr w:type="gramStart"/>
      <w:r w:rsidRPr="00CD6659">
        <w:rPr>
          <w:rFonts w:asciiTheme="minorHAnsi" w:hAnsiTheme="minorHAnsi"/>
        </w:rPr>
        <w:t>para.1(</w:t>
      </w:r>
      <w:proofErr w:type="gramEnd"/>
      <w:r w:rsidRPr="00CD6659">
        <w:rPr>
          <w:rFonts w:asciiTheme="minorHAnsi" w:hAnsiTheme="minorHAnsi"/>
        </w:rPr>
        <w:t>a).</w:t>
      </w:r>
    </w:p>
  </w:footnote>
  <w:footnote w:id="68">
    <w:p w:rsidR="00FE05CF" w:rsidRPr="00CD6659" w:rsidRDefault="00FE05CF" w:rsidP="00A07FBF">
      <w:pPr>
        <w:pStyle w:val="FootnoteText1"/>
        <w:rPr>
          <w:rFonts w:asciiTheme="minorHAnsi" w:eastAsia="Times New Roman" w:hAnsiTheme="minorHAnsi"/>
          <w:color w:val="auto"/>
          <w:lang w:val="en-GB"/>
        </w:rPr>
      </w:pPr>
      <w:r w:rsidRPr="00CD6659">
        <w:rPr>
          <w:rFonts w:asciiTheme="minorHAnsi" w:hAnsiTheme="minorHAnsi"/>
          <w:vertAlign w:val="superscript"/>
        </w:rPr>
        <w:footnoteRef/>
      </w:r>
      <w:r w:rsidRPr="00CD6659">
        <w:rPr>
          <w:rFonts w:asciiTheme="minorHAnsi" w:hAnsiTheme="minorHAnsi"/>
        </w:rPr>
        <w:t xml:space="preserve"> </w:t>
      </w:r>
      <w:proofErr w:type="spellStart"/>
      <w:r w:rsidRPr="00CD6659">
        <w:rPr>
          <w:rFonts w:asciiTheme="minorHAnsi" w:hAnsiTheme="minorHAnsi"/>
          <w:i/>
          <w:lang w:val="es-ES_tradnl"/>
        </w:rPr>
        <w:t>Ibid</w:t>
      </w:r>
      <w:proofErr w:type="spellEnd"/>
      <w:r w:rsidRPr="00CD6659">
        <w:rPr>
          <w:rFonts w:asciiTheme="minorHAnsi" w:hAnsiTheme="minorHAnsi"/>
          <w:i/>
        </w:rPr>
        <w:t>.</w:t>
      </w:r>
      <w:r w:rsidRPr="00CD6659">
        <w:rPr>
          <w:rFonts w:asciiTheme="minorHAnsi" w:hAnsiTheme="minorHAnsi"/>
        </w:rPr>
        <w:t>, Art. 7.</w:t>
      </w:r>
    </w:p>
  </w:footnote>
  <w:footnote w:id="69">
    <w:p w:rsidR="00FE05CF" w:rsidRPr="00CD6659" w:rsidRDefault="00FE05CF" w:rsidP="00A07FBF">
      <w:pPr>
        <w:pStyle w:val="FootnoteText1"/>
        <w:rPr>
          <w:rFonts w:asciiTheme="minorHAnsi" w:eastAsia="Times New Roman" w:hAnsiTheme="minorHAnsi"/>
          <w:color w:val="auto"/>
          <w:lang w:val="es-ES_tradnl"/>
        </w:rPr>
      </w:pPr>
      <w:r w:rsidRPr="00CD6659">
        <w:rPr>
          <w:rStyle w:val="FootnoteReference"/>
          <w:rFonts w:asciiTheme="minorHAnsi" w:hAnsiTheme="minorHAnsi"/>
        </w:rPr>
        <w:footnoteRef/>
      </w:r>
      <w:r w:rsidRPr="00CD6659">
        <w:rPr>
          <w:rFonts w:asciiTheme="minorHAnsi" w:hAnsiTheme="minorHAnsi"/>
          <w:lang w:val="es-ES_tradnl"/>
        </w:rPr>
        <w:t xml:space="preserve"> </w:t>
      </w:r>
      <w:proofErr w:type="spellStart"/>
      <w:r w:rsidRPr="00CD6659">
        <w:rPr>
          <w:rFonts w:asciiTheme="minorHAnsi" w:hAnsiTheme="minorHAnsi"/>
          <w:lang w:val="es-ES_tradnl"/>
        </w:rPr>
        <w:t>Obinna</w:t>
      </w:r>
      <w:proofErr w:type="spellEnd"/>
      <w:r w:rsidRPr="00CD6659">
        <w:rPr>
          <w:rFonts w:asciiTheme="minorHAnsi" w:hAnsiTheme="minorHAnsi"/>
          <w:lang w:val="es-ES_tradnl"/>
        </w:rPr>
        <w:t xml:space="preserve"> </w:t>
      </w:r>
      <w:proofErr w:type="spellStart"/>
      <w:r w:rsidRPr="00CD6659">
        <w:rPr>
          <w:rFonts w:asciiTheme="minorHAnsi" w:hAnsiTheme="minorHAnsi"/>
          <w:lang w:val="es-ES_tradnl"/>
        </w:rPr>
        <w:t>Okere</w:t>
      </w:r>
      <w:proofErr w:type="spellEnd"/>
      <w:r w:rsidRPr="00CD6659">
        <w:rPr>
          <w:rFonts w:asciiTheme="minorHAnsi" w:hAnsiTheme="minorHAnsi"/>
          <w:lang w:val="es-ES_tradnl"/>
        </w:rPr>
        <w:t xml:space="preserve">, </w:t>
      </w:r>
      <w:r w:rsidRPr="00CD6659">
        <w:rPr>
          <w:rFonts w:asciiTheme="minorHAnsi" w:hAnsiTheme="minorHAnsi"/>
        </w:rPr>
        <w:t xml:space="preserve">above n </w:t>
      </w:r>
      <w:r w:rsidRPr="00CD6659">
        <w:rPr>
          <w:rFonts w:asciiTheme="minorHAnsi" w:hAnsiTheme="minorHAnsi"/>
          <w:highlight w:val="yellow"/>
        </w:rPr>
        <w:fldChar w:fldCharType="begin"/>
      </w:r>
      <w:r w:rsidRPr="00CD6659">
        <w:rPr>
          <w:rFonts w:asciiTheme="minorHAnsi" w:hAnsiTheme="minorHAnsi"/>
          <w:lang w:val="es-ES_tradnl"/>
        </w:rPr>
        <w:instrText xml:space="preserve"> NOTEREF _Ref353275687 \h </w:instrText>
      </w:r>
      <w:r w:rsidRPr="00CD6659">
        <w:rPr>
          <w:rFonts w:asciiTheme="minorHAnsi" w:hAnsiTheme="minorHAnsi"/>
          <w:highlight w:val="yellow"/>
          <w:lang w:val="es-ES_tradnl"/>
        </w:rPr>
        <w:instrText xml:space="preserve"> \* MERGEFORMAT </w:instrText>
      </w:r>
      <w:r w:rsidRPr="00CD6659">
        <w:rPr>
          <w:rFonts w:asciiTheme="minorHAnsi" w:hAnsiTheme="minorHAnsi"/>
          <w:highlight w:val="yellow"/>
        </w:rPr>
      </w:r>
      <w:r w:rsidRPr="00CD6659">
        <w:rPr>
          <w:rFonts w:asciiTheme="minorHAnsi" w:hAnsiTheme="minorHAnsi"/>
          <w:highlight w:val="yellow"/>
        </w:rPr>
        <w:fldChar w:fldCharType="separate"/>
      </w:r>
      <w:r w:rsidR="00512C5B">
        <w:rPr>
          <w:rFonts w:asciiTheme="minorHAnsi" w:hAnsiTheme="minorHAnsi"/>
          <w:lang w:val="es-ES_tradnl"/>
        </w:rPr>
        <w:t>46</w:t>
      </w:r>
      <w:r w:rsidRPr="00CD6659">
        <w:rPr>
          <w:rFonts w:asciiTheme="minorHAnsi" w:hAnsiTheme="minorHAnsi"/>
          <w:highlight w:val="yellow"/>
        </w:rPr>
        <w:fldChar w:fldCharType="end"/>
      </w:r>
      <w:r w:rsidRPr="00CD6659">
        <w:rPr>
          <w:rFonts w:asciiTheme="minorHAnsi" w:hAnsiTheme="minorHAnsi"/>
        </w:rPr>
        <w:t>.</w:t>
      </w:r>
    </w:p>
  </w:footnote>
  <w:footnote w:id="70">
    <w:p w:rsidR="00FE05CF" w:rsidRPr="00CD6659" w:rsidRDefault="00FE05CF" w:rsidP="00A07FBF">
      <w:pPr>
        <w:pStyle w:val="FootnoteText"/>
        <w:spacing w:line="240" w:lineRule="auto"/>
        <w:jc w:val="left"/>
        <w:rPr>
          <w:rFonts w:asciiTheme="minorHAnsi" w:hAnsiTheme="minorHAnsi"/>
        </w:rPr>
      </w:pPr>
      <w:r w:rsidRPr="00CD6659">
        <w:rPr>
          <w:rStyle w:val="FootnoteReference"/>
          <w:rFonts w:asciiTheme="minorHAnsi" w:hAnsiTheme="minorHAnsi"/>
        </w:rPr>
        <w:footnoteRef/>
      </w:r>
      <w:r w:rsidRPr="00CD6659">
        <w:rPr>
          <w:rFonts w:asciiTheme="minorHAnsi" w:hAnsiTheme="minorHAnsi"/>
          <w:lang w:val="es-ES_tradnl"/>
        </w:rPr>
        <w:t xml:space="preserve"> </w:t>
      </w:r>
      <w:r w:rsidR="00512C5B" w:rsidRPr="00CD6659">
        <w:rPr>
          <w:rFonts w:cs="GaramondThree"/>
        </w:rPr>
        <w:t>International Covenant on Econo</w:t>
      </w:r>
      <w:r w:rsidR="00512C5B">
        <w:rPr>
          <w:rFonts w:cs="GaramondThree"/>
        </w:rPr>
        <w:t>mic, Social and Cultural Rights</w:t>
      </w:r>
      <w:r w:rsidRPr="00CD6659">
        <w:rPr>
          <w:rFonts w:asciiTheme="minorHAnsi" w:hAnsiTheme="minorHAnsi"/>
          <w:lang w:val="es-ES_tradnl"/>
        </w:rPr>
        <w:t xml:space="preserve">, </w:t>
      </w:r>
      <w:r w:rsidRPr="00CD6659">
        <w:rPr>
          <w:rFonts w:asciiTheme="minorHAnsi" w:hAnsiTheme="minorHAnsi"/>
        </w:rPr>
        <w:t xml:space="preserve">above n </w:t>
      </w:r>
      <w:r w:rsidRPr="00CD6659">
        <w:rPr>
          <w:rFonts w:asciiTheme="minorHAnsi" w:hAnsiTheme="minorHAnsi"/>
        </w:rPr>
        <w:fldChar w:fldCharType="begin"/>
      </w:r>
      <w:r w:rsidRPr="00CD6659">
        <w:rPr>
          <w:rFonts w:asciiTheme="minorHAnsi" w:hAnsiTheme="minorHAnsi"/>
          <w:lang w:val="es-ES_tradnl"/>
        </w:rPr>
        <w:instrText xml:space="preserve"> NOTEREF _Ref353275755 \h  \* MERGEFORMAT </w:instrText>
      </w:r>
      <w:r w:rsidRPr="00CD6659">
        <w:rPr>
          <w:rFonts w:asciiTheme="minorHAnsi" w:hAnsiTheme="minorHAnsi"/>
        </w:rPr>
      </w:r>
      <w:r w:rsidRPr="00CD6659">
        <w:rPr>
          <w:rFonts w:asciiTheme="minorHAnsi" w:hAnsiTheme="minorHAnsi"/>
        </w:rPr>
        <w:fldChar w:fldCharType="separate"/>
      </w:r>
      <w:r w:rsidR="00512C5B" w:rsidRPr="00512C5B">
        <w:rPr>
          <w:rFonts w:asciiTheme="minorHAnsi" w:hAnsiTheme="minorHAnsi"/>
        </w:rPr>
        <w:t>56</w:t>
      </w:r>
      <w:r w:rsidRPr="00CD6659">
        <w:rPr>
          <w:rFonts w:asciiTheme="minorHAnsi" w:hAnsiTheme="minorHAnsi"/>
        </w:rPr>
        <w:fldChar w:fldCharType="end"/>
      </w:r>
      <w:r w:rsidRPr="00CD6659">
        <w:rPr>
          <w:rFonts w:asciiTheme="minorHAnsi" w:hAnsiTheme="minorHAnsi"/>
        </w:rPr>
        <w:t>, Article 2(1).</w:t>
      </w:r>
    </w:p>
  </w:footnote>
  <w:footnote w:id="71">
    <w:p w:rsidR="00FE05CF" w:rsidRPr="00CD6659" w:rsidRDefault="00FE05CF" w:rsidP="00A07FBF">
      <w:pPr>
        <w:pStyle w:val="FootnoteText"/>
        <w:spacing w:line="240" w:lineRule="auto"/>
        <w:jc w:val="left"/>
        <w:rPr>
          <w:rFonts w:asciiTheme="minorHAnsi" w:hAnsiTheme="minorHAnsi"/>
          <w:b/>
        </w:rPr>
      </w:pPr>
      <w:r w:rsidRPr="00CD6659">
        <w:rPr>
          <w:rStyle w:val="FootnoteReference"/>
          <w:rFonts w:asciiTheme="minorHAnsi" w:hAnsiTheme="minorHAnsi"/>
        </w:rPr>
        <w:footnoteRef/>
      </w:r>
      <w:r w:rsidRPr="00CD6659">
        <w:rPr>
          <w:rFonts w:asciiTheme="minorHAnsi" w:hAnsiTheme="minorHAnsi"/>
        </w:rPr>
        <w:t xml:space="preserve"> The Limburg Principles on the Implementation of the International Covenant on Economic, Social and Cultural Rights, 8 January, 1987, UN Doc E/CN.4/1987/17, para.30; Committee on Economic, Social and Cultural Rights, ‘General Comment 3 (1990)’, 14 December 1990, UN Doc. E/1991/23,  para.14.</w:t>
      </w:r>
    </w:p>
  </w:footnote>
  <w:footnote w:id="72">
    <w:p w:rsidR="00FE05CF" w:rsidRPr="00CD6659" w:rsidRDefault="00FE05CF" w:rsidP="00A07FBF">
      <w:pPr>
        <w:pStyle w:val="FootnoteText"/>
        <w:spacing w:line="240" w:lineRule="auto"/>
        <w:jc w:val="left"/>
        <w:rPr>
          <w:rFonts w:asciiTheme="minorHAnsi" w:hAnsiTheme="minorHAnsi"/>
        </w:rPr>
      </w:pPr>
      <w:r w:rsidRPr="00CD6659">
        <w:rPr>
          <w:rStyle w:val="FootnoteReference"/>
          <w:rFonts w:asciiTheme="minorHAnsi" w:hAnsiTheme="minorHAnsi"/>
        </w:rPr>
        <w:footnoteRef/>
      </w:r>
      <w:r w:rsidRPr="00CD6659">
        <w:rPr>
          <w:rFonts w:asciiTheme="minorHAnsi" w:hAnsiTheme="minorHAnsi"/>
        </w:rPr>
        <w:t xml:space="preserve"> </w:t>
      </w:r>
      <w:proofErr w:type="gramStart"/>
      <w:r w:rsidRPr="00CD6659">
        <w:rPr>
          <w:rFonts w:asciiTheme="minorHAnsi" w:hAnsiTheme="minorHAnsi"/>
        </w:rPr>
        <w:t>HRC 4</w:t>
      </w:r>
      <w:r w:rsidRPr="00CD6659">
        <w:rPr>
          <w:rFonts w:asciiTheme="minorHAnsi" w:hAnsiTheme="minorHAnsi"/>
          <w:vertAlign w:val="superscript"/>
        </w:rPr>
        <w:t>th</w:t>
      </w:r>
      <w:r w:rsidRPr="00CD6659">
        <w:rPr>
          <w:rFonts w:asciiTheme="minorHAnsi" w:hAnsiTheme="minorHAnsi"/>
        </w:rPr>
        <w:t xml:space="preserve"> Session, ‘Report of the independent expert on human rights and international solidarity, Rudi Muhammad </w:t>
      </w:r>
      <w:proofErr w:type="spellStart"/>
      <w:r w:rsidRPr="00CD6659">
        <w:rPr>
          <w:rFonts w:asciiTheme="minorHAnsi" w:hAnsiTheme="minorHAnsi"/>
        </w:rPr>
        <w:t>Rizki</w:t>
      </w:r>
      <w:proofErr w:type="spellEnd"/>
      <w:r w:rsidRPr="00CD6659">
        <w:rPr>
          <w:rFonts w:asciiTheme="minorHAnsi" w:hAnsiTheme="minorHAnsi"/>
        </w:rPr>
        <w:t>’, 7 February 2007, UN Doc.</w:t>
      </w:r>
      <w:proofErr w:type="gramEnd"/>
      <w:r w:rsidRPr="00CD6659">
        <w:rPr>
          <w:rFonts w:asciiTheme="minorHAnsi" w:hAnsiTheme="minorHAnsi"/>
        </w:rPr>
        <w:t xml:space="preserve"> </w:t>
      </w:r>
      <w:proofErr w:type="gramStart"/>
      <w:r w:rsidRPr="00CD6659">
        <w:rPr>
          <w:rFonts w:asciiTheme="minorHAnsi" w:hAnsiTheme="minorHAnsi"/>
        </w:rPr>
        <w:t>A/HRC/4/8, para.4.</w:t>
      </w:r>
      <w:proofErr w:type="gramEnd"/>
    </w:p>
  </w:footnote>
  <w:footnote w:id="73">
    <w:p w:rsidR="00FE05CF" w:rsidRPr="00CD6659" w:rsidRDefault="00FE05CF" w:rsidP="00A07FBF">
      <w:pPr>
        <w:pStyle w:val="FootnoteText"/>
        <w:spacing w:line="240" w:lineRule="auto"/>
        <w:jc w:val="left"/>
        <w:rPr>
          <w:rFonts w:asciiTheme="minorHAnsi" w:hAnsiTheme="minorHAnsi"/>
        </w:rPr>
      </w:pPr>
      <w:r w:rsidRPr="00CD6659">
        <w:rPr>
          <w:rStyle w:val="FootnoteReference"/>
          <w:rFonts w:asciiTheme="minorHAnsi" w:hAnsiTheme="minorHAnsi"/>
        </w:rPr>
        <w:footnoteRef/>
      </w:r>
      <w:r w:rsidRPr="00CD6659">
        <w:rPr>
          <w:rFonts w:asciiTheme="minorHAnsi" w:hAnsiTheme="minorHAnsi"/>
        </w:rPr>
        <w:t xml:space="preserve"> </w:t>
      </w:r>
      <w:proofErr w:type="spellStart"/>
      <w:r w:rsidRPr="00CD6659">
        <w:rPr>
          <w:rFonts w:asciiTheme="minorHAnsi" w:hAnsiTheme="minorHAnsi"/>
          <w:i/>
          <w:lang w:val="es-ES_tradnl"/>
        </w:rPr>
        <w:t>Ibid</w:t>
      </w:r>
      <w:proofErr w:type="spellEnd"/>
      <w:r w:rsidRPr="00CD6659">
        <w:rPr>
          <w:rFonts w:asciiTheme="minorHAnsi" w:hAnsiTheme="minorHAnsi"/>
          <w:i/>
        </w:rPr>
        <w:t>.</w:t>
      </w:r>
      <w:r w:rsidRPr="00CD6659">
        <w:rPr>
          <w:rFonts w:asciiTheme="minorHAnsi" w:hAnsiTheme="minorHAnsi"/>
        </w:rPr>
        <w:t>, para.11.</w:t>
      </w:r>
    </w:p>
  </w:footnote>
  <w:footnote w:id="74">
    <w:p w:rsidR="00FE05CF" w:rsidRPr="00CD6659" w:rsidRDefault="00FE05CF" w:rsidP="00A07FBF">
      <w:pPr>
        <w:pStyle w:val="FootnoteText"/>
        <w:spacing w:line="240" w:lineRule="auto"/>
        <w:jc w:val="left"/>
        <w:rPr>
          <w:rFonts w:asciiTheme="minorHAnsi" w:hAnsiTheme="minorHAnsi"/>
        </w:rPr>
      </w:pPr>
      <w:r w:rsidRPr="00CD6659">
        <w:rPr>
          <w:rStyle w:val="FootnoteReference"/>
          <w:rFonts w:asciiTheme="minorHAnsi" w:hAnsiTheme="minorHAnsi"/>
        </w:rPr>
        <w:footnoteRef/>
      </w:r>
      <w:r w:rsidRPr="00CD6659">
        <w:rPr>
          <w:rFonts w:asciiTheme="minorHAnsi" w:hAnsiTheme="minorHAnsi"/>
        </w:rPr>
        <w:t xml:space="preserve"> See generally Alston </w:t>
      </w:r>
      <w:r w:rsidR="00512C5B">
        <w:rPr>
          <w:rFonts w:asciiTheme="minorHAnsi" w:hAnsiTheme="minorHAnsi"/>
        </w:rPr>
        <w:t xml:space="preserve">P. </w:t>
      </w:r>
      <w:r w:rsidRPr="00CD6659">
        <w:rPr>
          <w:rFonts w:asciiTheme="minorHAnsi" w:hAnsiTheme="minorHAnsi"/>
        </w:rPr>
        <w:t xml:space="preserve">&amp; G. Quinn, (1987), ‘The Nature and Scope of States Parties’ Obligations under the International Covenant on Economic, Social and Cultural Rights, </w:t>
      </w:r>
      <w:r w:rsidRPr="00CD6659">
        <w:rPr>
          <w:rFonts w:asciiTheme="minorHAnsi" w:hAnsiTheme="minorHAnsi"/>
          <w:i/>
        </w:rPr>
        <w:t>Human Right</w:t>
      </w:r>
      <w:r w:rsidR="00512C5B">
        <w:rPr>
          <w:rFonts w:asciiTheme="minorHAnsi" w:hAnsiTheme="minorHAnsi"/>
          <w:i/>
        </w:rPr>
        <w:t>s</w:t>
      </w:r>
      <w:r w:rsidRPr="00CD6659">
        <w:rPr>
          <w:rFonts w:asciiTheme="minorHAnsi" w:hAnsiTheme="minorHAnsi"/>
          <w:i/>
        </w:rPr>
        <w:t xml:space="preserve"> Quarterly</w:t>
      </w:r>
      <w:r w:rsidR="00512C5B">
        <w:rPr>
          <w:rFonts w:asciiTheme="minorHAnsi" w:hAnsiTheme="minorHAnsi"/>
        </w:rPr>
        <w:t xml:space="preserve"> 9(2), pp. 156-229.</w:t>
      </w:r>
    </w:p>
  </w:footnote>
  <w:footnote w:id="75">
    <w:p w:rsidR="00FE05CF" w:rsidRPr="00CD6659" w:rsidRDefault="00FE05CF" w:rsidP="00A07FBF">
      <w:pPr>
        <w:pStyle w:val="FootnoteText"/>
        <w:spacing w:line="240" w:lineRule="auto"/>
        <w:jc w:val="left"/>
        <w:rPr>
          <w:rFonts w:asciiTheme="minorHAnsi" w:hAnsiTheme="minorHAnsi"/>
          <w:b/>
        </w:rPr>
      </w:pPr>
      <w:r w:rsidRPr="00CD6659">
        <w:rPr>
          <w:rStyle w:val="FootnoteReference"/>
          <w:rFonts w:asciiTheme="minorHAnsi" w:hAnsiTheme="minorHAnsi"/>
        </w:rPr>
        <w:footnoteRef/>
      </w:r>
      <w:r w:rsidRPr="00CD6659">
        <w:rPr>
          <w:rFonts w:asciiTheme="minorHAnsi" w:hAnsiTheme="minorHAnsi"/>
        </w:rPr>
        <w:t xml:space="preserve"> See e.g. Human Rights Committee, ‘General Comment No 31 (2004)’, 26 May 2004, UN Doc. CCPR/C/21/Rev.1/Add.13</w:t>
      </w:r>
      <w:r w:rsidRPr="00CD6659">
        <w:rPr>
          <w:rFonts w:asciiTheme="minorHAnsi" w:hAnsiTheme="minorHAnsi"/>
          <w:b/>
        </w:rPr>
        <w:t xml:space="preserve">; </w:t>
      </w:r>
      <w:r w:rsidRPr="00CD6659">
        <w:rPr>
          <w:rFonts w:asciiTheme="minorHAnsi" w:hAnsiTheme="minorHAnsi"/>
        </w:rPr>
        <w:t>International Court of Justice,</w:t>
      </w:r>
      <w:r w:rsidRPr="00CD6659">
        <w:rPr>
          <w:rFonts w:asciiTheme="minorHAnsi" w:hAnsiTheme="minorHAnsi"/>
          <w:b/>
        </w:rPr>
        <w:t xml:space="preserve"> </w:t>
      </w:r>
      <w:r w:rsidRPr="00CD6659">
        <w:rPr>
          <w:rFonts w:asciiTheme="minorHAnsi" w:hAnsiTheme="minorHAnsi"/>
          <w:i/>
          <w:iCs/>
        </w:rPr>
        <w:t>‘</w:t>
      </w:r>
      <w:r w:rsidRPr="00CD6659">
        <w:rPr>
          <w:rFonts w:asciiTheme="minorHAnsi" w:hAnsiTheme="minorHAnsi"/>
          <w:iCs/>
        </w:rPr>
        <w:t>Advisory Opinion Concerning Legal Consequences of the Construction of a Wall in the Occupied Palestinian Territory</w:t>
      </w:r>
      <w:r w:rsidRPr="00CD6659">
        <w:rPr>
          <w:rFonts w:asciiTheme="minorHAnsi" w:hAnsiTheme="minorHAnsi"/>
        </w:rPr>
        <w:t>’, 9 July 2004, ICJ Rep 2004.</w:t>
      </w:r>
    </w:p>
  </w:footnote>
  <w:footnote w:id="76">
    <w:p w:rsidR="00FE05CF" w:rsidRPr="00CD6659" w:rsidRDefault="00FE05CF" w:rsidP="00A07FBF">
      <w:pPr>
        <w:pStyle w:val="FootnoteText"/>
        <w:spacing w:line="240" w:lineRule="auto"/>
        <w:jc w:val="left"/>
        <w:rPr>
          <w:rFonts w:asciiTheme="minorHAnsi" w:hAnsiTheme="minorHAnsi"/>
        </w:rPr>
      </w:pPr>
      <w:r w:rsidRPr="00CD6659">
        <w:rPr>
          <w:rStyle w:val="FootnoteReference"/>
          <w:rFonts w:asciiTheme="minorHAnsi" w:hAnsiTheme="minorHAnsi"/>
        </w:rPr>
        <w:footnoteRef/>
      </w:r>
      <w:r w:rsidRPr="00CD6659">
        <w:rPr>
          <w:rFonts w:asciiTheme="minorHAnsi" w:hAnsiTheme="minorHAnsi"/>
        </w:rPr>
        <w:t xml:space="preserve"> </w:t>
      </w:r>
      <w:proofErr w:type="gramStart"/>
      <w:r w:rsidRPr="00CD6659">
        <w:rPr>
          <w:rFonts w:asciiTheme="minorHAnsi" w:hAnsiTheme="minorHAnsi"/>
        </w:rPr>
        <w:t>HRC 12</w:t>
      </w:r>
      <w:r w:rsidRPr="00CD6659">
        <w:rPr>
          <w:rFonts w:asciiTheme="minorHAnsi" w:hAnsiTheme="minorHAnsi"/>
          <w:vertAlign w:val="superscript"/>
        </w:rPr>
        <w:t>th</w:t>
      </w:r>
      <w:r w:rsidRPr="00CD6659">
        <w:rPr>
          <w:rFonts w:asciiTheme="minorHAnsi" w:hAnsiTheme="minorHAnsi"/>
        </w:rPr>
        <w:t xml:space="preserve"> Session, ‘Report of the independent expert on human rights and international solidarity, Rudi Muhammad </w:t>
      </w:r>
      <w:proofErr w:type="spellStart"/>
      <w:r w:rsidRPr="00CD6659">
        <w:rPr>
          <w:rFonts w:asciiTheme="minorHAnsi" w:hAnsiTheme="minorHAnsi"/>
        </w:rPr>
        <w:t>Rizki</w:t>
      </w:r>
      <w:proofErr w:type="spellEnd"/>
      <w:r w:rsidRPr="00CD6659">
        <w:rPr>
          <w:rFonts w:asciiTheme="minorHAnsi" w:hAnsiTheme="minorHAnsi"/>
        </w:rPr>
        <w:t>’, 22 July 2009, UN Doc.</w:t>
      </w:r>
      <w:proofErr w:type="gramEnd"/>
      <w:r w:rsidRPr="00CD6659">
        <w:rPr>
          <w:rFonts w:asciiTheme="minorHAnsi" w:hAnsiTheme="minorHAnsi"/>
        </w:rPr>
        <w:t xml:space="preserve"> </w:t>
      </w:r>
      <w:proofErr w:type="gramStart"/>
      <w:r w:rsidRPr="00CD6659">
        <w:rPr>
          <w:rFonts w:asciiTheme="minorHAnsi" w:hAnsiTheme="minorHAnsi"/>
        </w:rPr>
        <w:t>A/HRC/12/27, para.42.</w:t>
      </w:r>
      <w:proofErr w:type="gramEnd"/>
    </w:p>
  </w:footnote>
  <w:footnote w:id="77">
    <w:p w:rsidR="00FE05CF" w:rsidRPr="00CD6659" w:rsidRDefault="00FE05CF" w:rsidP="00A07FBF">
      <w:pPr>
        <w:pStyle w:val="FootnoteText"/>
        <w:spacing w:line="240" w:lineRule="auto"/>
        <w:jc w:val="left"/>
        <w:rPr>
          <w:rFonts w:asciiTheme="minorHAnsi" w:hAnsiTheme="minorHAnsi"/>
        </w:rPr>
      </w:pPr>
      <w:r w:rsidRPr="00CD6659">
        <w:rPr>
          <w:rStyle w:val="FootnoteReference"/>
          <w:rFonts w:asciiTheme="minorHAnsi" w:hAnsiTheme="minorHAnsi"/>
        </w:rPr>
        <w:footnoteRef/>
      </w:r>
      <w:r w:rsidRPr="00CD6659">
        <w:rPr>
          <w:rFonts w:asciiTheme="minorHAnsi" w:hAnsiTheme="minorHAnsi"/>
        </w:rPr>
        <w:t xml:space="preserve"> 4</w:t>
      </w:r>
      <w:r w:rsidRPr="00CD6659">
        <w:rPr>
          <w:rFonts w:asciiTheme="minorHAnsi" w:hAnsiTheme="minorHAnsi"/>
          <w:vertAlign w:val="superscript"/>
        </w:rPr>
        <w:t>th</w:t>
      </w:r>
      <w:r w:rsidRPr="00CD6659">
        <w:rPr>
          <w:rFonts w:asciiTheme="minorHAnsi" w:hAnsiTheme="minorHAnsi"/>
        </w:rPr>
        <w:t xml:space="preserve"> Session Report of Rudi Muhammad </w:t>
      </w:r>
      <w:proofErr w:type="spellStart"/>
      <w:r w:rsidRPr="00CD6659">
        <w:rPr>
          <w:rFonts w:asciiTheme="minorHAnsi" w:hAnsiTheme="minorHAnsi"/>
        </w:rPr>
        <w:t>Rizki</w:t>
      </w:r>
      <w:proofErr w:type="spellEnd"/>
      <w:r w:rsidRPr="00CD6659">
        <w:rPr>
          <w:rFonts w:asciiTheme="minorHAnsi" w:hAnsiTheme="minorHAnsi"/>
        </w:rPr>
        <w:t xml:space="preserve">, above n </w:t>
      </w:r>
      <w:r w:rsidRPr="00CD6659">
        <w:rPr>
          <w:rFonts w:asciiTheme="minorHAnsi" w:hAnsiTheme="minorHAnsi"/>
        </w:rPr>
        <w:fldChar w:fldCharType="begin"/>
      </w:r>
      <w:r w:rsidRPr="00CD6659">
        <w:rPr>
          <w:rFonts w:asciiTheme="minorHAnsi" w:hAnsiTheme="minorHAnsi"/>
        </w:rPr>
        <w:instrText xml:space="preserve"> NOTEREF _Ref358919391 \h  \* MERGEFORMAT </w:instrText>
      </w:r>
      <w:r w:rsidRPr="00CD6659">
        <w:rPr>
          <w:rFonts w:asciiTheme="minorHAnsi" w:hAnsiTheme="minorHAnsi"/>
        </w:rPr>
      </w:r>
      <w:r w:rsidRPr="00CD6659">
        <w:rPr>
          <w:rFonts w:asciiTheme="minorHAnsi" w:hAnsiTheme="minorHAnsi"/>
        </w:rPr>
        <w:fldChar w:fldCharType="separate"/>
      </w:r>
      <w:r w:rsidR="00512C5B">
        <w:rPr>
          <w:rFonts w:asciiTheme="minorHAnsi" w:hAnsiTheme="minorHAnsi"/>
        </w:rPr>
        <w:t>72</w:t>
      </w:r>
      <w:r w:rsidRPr="00CD6659">
        <w:rPr>
          <w:rFonts w:asciiTheme="minorHAnsi" w:hAnsiTheme="minorHAnsi"/>
        </w:rPr>
        <w:fldChar w:fldCharType="end"/>
      </w:r>
      <w:r w:rsidRPr="00CD6659">
        <w:rPr>
          <w:rFonts w:asciiTheme="minorHAnsi" w:hAnsiTheme="minorHAnsi"/>
        </w:rPr>
        <w:t>, para.48.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80236"/>
    <w:multiLevelType w:val="hybridMultilevel"/>
    <w:tmpl w:val="595EEFA6"/>
    <w:lvl w:ilvl="0" w:tplc="6ED2E7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D4A0CD1"/>
    <w:multiLevelType w:val="hybridMultilevel"/>
    <w:tmpl w:val="595EEFA6"/>
    <w:lvl w:ilvl="0" w:tplc="6ED2E7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AD4"/>
    <w:rsid w:val="000011C7"/>
    <w:rsid w:val="00065C95"/>
    <w:rsid w:val="00066047"/>
    <w:rsid w:val="000679B8"/>
    <w:rsid w:val="00070B65"/>
    <w:rsid w:val="000D4BC4"/>
    <w:rsid w:val="000F4C7B"/>
    <w:rsid w:val="00115CB3"/>
    <w:rsid w:val="00116193"/>
    <w:rsid w:val="00126369"/>
    <w:rsid w:val="00187794"/>
    <w:rsid w:val="00193B9E"/>
    <w:rsid w:val="00277D74"/>
    <w:rsid w:val="002D1ED2"/>
    <w:rsid w:val="0033014F"/>
    <w:rsid w:val="0036327E"/>
    <w:rsid w:val="00381383"/>
    <w:rsid w:val="00393FC0"/>
    <w:rsid w:val="00411F08"/>
    <w:rsid w:val="00426CDE"/>
    <w:rsid w:val="00431F8B"/>
    <w:rsid w:val="00432268"/>
    <w:rsid w:val="00512C5B"/>
    <w:rsid w:val="00523CC8"/>
    <w:rsid w:val="005772CA"/>
    <w:rsid w:val="00590504"/>
    <w:rsid w:val="0059143F"/>
    <w:rsid w:val="005D4BCE"/>
    <w:rsid w:val="006333E3"/>
    <w:rsid w:val="0069437C"/>
    <w:rsid w:val="006A5532"/>
    <w:rsid w:val="0070680B"/>
    <w:rsid w:val="007321AC"/>
    <w:rsid w:val="00732319"/>
    <w:rsid w:val="007A1AD4"/>
    <w:rsid w:val="007B2F26"/>
    <w:rsid w:val="00806561"/>
    <w:rsid w:val="00825835"/>
    <w:rsid w:val="0083176D"/>
    <w:rsid w:val="00840242"/>
    <w:rsid w:val="00862807"/>
    <w:rsid w:val="008762C6"/>
    <w:rsid w:val="008E1C75"/>
    <w:rsid w:val="00922B6C"/>
    <w:rsid w:val="00926170"/>
    <w:rsid w:val="009800FC"/>
    <w:rsid w:val="009870D3"/>
    <w:rsid w:val="009B4D71"/>
    <w:rsid w:val="009E1776"/>
    <w:rsid w:val="009E28EE"/>
    <w:rsid w:val="009E4BC5"/>
    <w:rsid w:val="009E6F68"/>
    <w:rsid w:val="00A07FBF"/>
    <w:rsid w:val="00A20327"/>
    <w:rsid w:val="00A35C6A"/>
    <w:rsid w:val="00A41C67"/>
    <w:rsid w:val="00A55B64"/>
    <w:rsid w:val="00AB5741"/>
    <w:rsid w:val="00B03F32"/>
    <w:rsid w:val="00B1439D"/>
    <w:rsid w:val="00B57C8A"/>
    <w:rsid w:val="00B728DA"/>
    <w:rsid w:val="00B80641"/>
    <w:rsid w:val="00BA10BB"/>
    <w:rsid w:val="00BB695B"/>
    <w:rsid w:val="00BC70CD"/>
    <w:rsid w:val="00BD0B5A"/>
    <w:rsid w:val="00C61FF5"/>
    <w:rsid w:val="00C903AD"/>
    <w:rsid w:val="00CB7C0E"/>
    <w:rsid w:val="00CD6659"/>
    <w:rsid w:val="00CE46BF"/>
    <w:rsid w:val="00CF5F8C"/>
    <w:rsid w:val="00DE030A"/>
    <w:rsid w:val="00DE0CB9"/>
    <w:rsid w:val="00DE6258"/>
    <w:rsid w:val="00E1435D"/>
    <w:rsid w:val="00E20D20"/>
    <w:rsid w:val="00E82F20"/>
    <w:rsid w:val="00E878BC"/>
    <w:rsid w:val="00EB4A11"/>
    <w:rsid w:val="00EC1B07"/>
    <w:rsid w:val="00F005FA"/>
    <w:rsid w:val="00F21F62"/>
    <w:rsid w:val="00F36C27"/>
    <w:rsid w:val="00FC5210"/>
    <w:rsid w:val="00FE0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AD4"/>
    <w:pPr>
      <w:ind w:left="720"/>
      <w:contextualSpacing/>
    </w:pPr>
  </w:style>
  <w:style w:type="paragraph" w:styleId="FootnoteText">
    <w:name w:val="footnote text"/>
    <w:basedOn w:val="Normal"/>
    <w:link w:val="FootnoteTextChar"/>
    <w:uiPriority w:val="99"/>
    <w:unhideWhenUsed/>
    <w:rsid w:val="007A1AD4"/>
    <w:pPr>
      <w:widowControl w:val="0"/>
      <w:adjustRightInd w:val="0"/>
      <w:spacing w:after="0" w:line="360" w:lineRule="atLeast"/>
      <w:jc w:val="both"/>
      <w:textAlignment w:val="baseline"/>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7A1AD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7A1AD4"/>
    <w:rPr>
      <w:vertAlign w:val="superscript"/>
    </w:rPr>
  </w:style>
  <w:style w:type="character" w:customStyle="1" w:styleId="addmd">
    <w:name w:val="addmd"/>
    <w:basedOn w:val="DefaultParagraphFont"/>
    <w:rsid w:val="00FE05CF"/>
  </w:style>
  <w:style w:type="character" w:styleId="Strong">
    <w:name w:val="Strong"/>
    <w:basedOn w:val="DefaultParagraphFont"/>
    <w:uiPriority w:val="22"/>
    <w:qFormat/>
    <w:rsid w:val="00FE05CF"/>
    <w:rPr>
      <w:b/>
      <w:bCs/>
    </w:rPr>
  </w:style>
  <w:style w:type="paragraph" w:customStyle="1" w:styleId="FootnoteText1">
    <w:name w:val="Footnote Text1"/>
    <w:autoRedefine/>
    <w:rsid w:val="00FE05CF"/>
    <w:pPr>
      <w:spacing w:after="0"/>
    </w:pPr>
    <w:rPr>
      <w:rFonts w:ascii="Helvetica" w:eastAsia="ヒラギノ角ゴ Pro W3" w:hAnsi="Helvetica" w:cs="Times New Roman"/>
      <w:color w:val="000000"/>
      <w:sz w:val="20"/>
      <w:szCs w:val="20"/>
      <w:lang w:val="en-US" w:eastAsia="en-GB"/>
    </w:rPr>
  </w:style>
  <w:style w:type="character" w:styleId="CommentReference">
    <w:name w:val="annotation reference"/>
    <w:basedOn w:val="DefaultParagraphFont"/>
    <w:uiPriority w:val="99"/>
    <w:semiHidden/>
    <w:unhideWhenUsed/>
    <w:rsid w:val="00FE05CF"/>
    <w:rPr>
      <w:sz w:val="16"/>
      <w:szCs w:val="16"/>
    </w:rPr>
  </w:style>
  <w:style w:type="paragraph" w:styleId="CommentText">
    <w:name w:val="annotation text"/>
    <w:basedOn w:val="Normal"/>
    <w:link w:val="CommentTextChar"/>
    <w:uiPriority w:val="99"/>
    <w:semiHidden/>
    <w:unhideWhenUsed/>
    <w:rsid w:val="00FE05CF"/>
    <w:rPr>
      <w:sz w:val="20"/>
      <w:szCs w:val="20"/>
    </w:rPr>
  </w:style>
  <w:style w:type="character" w:customStyle="1" w:styleId="CommentTextChar">
    <w:name w:val="Comment Text Char"/>
    <w:basedOn w:val="DefaultParagraphFont"/>
    <w:link w:val="CommentText"/>
    <w:uiPriority w:val="99"/>
    <w:semiHidden/>
    <w:rsid w:val="00FE05CF"/>
    <w:rPr>
      <w:sz w:val="20"/>
      <w:szCs w:val="20"/>
    </w:rPr>
  </w:style>
  <w:style w:type="paragraph" w:styleId="CommentSubject">
    <w:name w:val="annotation subject"/>
    <w:basedOn w:val="CommentText"/>
    <w:next w:val="CommentText"/>
    <w:link w:val="CommentSubjectChar"/>
    <w:uiPriority w:val="99"/>
    <w:semiHidden/>
    <w:unhideWhenUsed/>
    <w:rsid w:val="00FE05CF"/>
    <w:rPr>
      <w:b/>
      <w:bCs/>
    </w:rPr>
  </w:style>
  <w:style w:type="character" w:customStyle="1" w:styleId="CommentSubjectChar">
    <w:name w:val="Comment Subject Char"/>
    <w:basedOn w:val="CommentTextChar"/>
    <w:link w:val="CommentSubject"/>
    <w:uiPriority w:val="99"/>
    <w:semiHidden/>
    <w:rsid w:val="00FE05CF"/>
    <w:rPr>
      <w:b/>
      <w:bCs/>
      <w:sz w:val="20"/>
      <w:szCs w:val="20"/>
    </w:rPr>
  </w:style>
  <w:style w:type="paragraph" w:styleId="BalloonText">
    <w:name w:val="Balloon Text"/>
    <w:basedOn w:val="Normal"/>
    <w:link w:val="BalloonTextChar"/>
    <w:uiPriority w:val="99"/>
    <w:semiHidden/>
    <w:unhideWhenUsed/>
    <w:rsid w:val="00FE05C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5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AD4"/>
    <w:pPr>
      <w:ind w:left="720"/>
      <w:contextualSpacing/>
    </w:pPr>
  </w:style>
  <w:style w:type="paragraph" w:styleId="FootnoteText">
    <w:name w:val="footnote text"/>
    <w:basedOn w:val="Normal"/>
    <w:link w:val="FootnoteTextChar"/>
    <w:uiPriority w:val="99"/>
    <w:unhideWhenUsed/>
    <w:rsid w:val="007A1AD4"/>
    <w:pPr>
      <w:widowControl w:val="0"/>
      <w:adjustRightInd w:val="0"/>
      <w:spacing w:after="0" w:line="360" w:lineRule="atLeast"/>
      <w:jc w:val="both"/>
      <w:textAlignment w:val="baseline"/>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7A1AD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7A1AD4"/>
    <w:rPr>
      <w:vertAlign w:val="superscript"/>
    </w:rPr>
  </w:style>
  <w:style w:type="character" w:customStyle="1" w:styleId="addmd">
    <w:name w:val="addmd"/>
    <w:basedOn w:val="DefaultParagraphFont"/>
    <w:rsid w:val="00FE05CF"/>
  </w:style>
  <w:style w:type="character" w:styleId="Strong">
    <w:name w:val="Strong"/>
    <w:basedOn w:val="DefaultParagraphFont"/>
    <w:uiPriority w:val="22"/>
    <w:qFormat/>
    <w:rsid w:val="00FE05CF"/>
    <w:rPr>
      <w:b/>
      <w:bCs/>
    </w:rPr>
  </w:style>
  <w:style w:type="paragraph" w:customStyle="1" w:styleId="FootnoteText1">
    <w:name w:val="Footnote Text1"/>
    <w:autoRedefine/>
    <w:rsid w:val="00FE05CF"/>
    <w:pPr>
      <w:spacing w:after="0"/>
    </w:pPr>
    <w:rPr>
      <w:rFonts w:ascii="Helvetica" w:eastAsia="ヒラギノ角ゴ Pro W3" w:hAnsi="Helvetica" w:cs="Times New Roman"/>
      <w:color w:val="000000"/>
      <w:sz w:val="20"/>
      <w:szCs w:val="20"/>
      <w:lang w:val="en-US" w:eastAsia="en-GB"/>
    </w:rPr>
  </w:style>
  <w:style w:type="character" w:styleId="CommentReference">
    <w:name w:val="annotation reference"/>
    <w:basedOn w:val="DefaultParagraphFont"/>
    <w:uiPriority w:val="99"/>
    <w:semiHidden/>
    <w:unhideWhenUsed/>
    <w:rsid w:val="00FE05CF"/>
    <w:rPr>
      <w:sz w:val="16"/>
      <w:szCs w:val="16"/>
    </w:rPr>
  </w:style>
  <w:style w:type="paragraph" w:styleId="CommentText">
    <w:name w:val="annotation text"/>
    <w:basedOn w:val="Normal"/>
    <w:link w:val="CommentTextChar"/>
    <w:uiPriority w:val="99"/>
    <w:semiHidden/>
    <w:unhideWhenUsed/>
    <w:rsid w:val="00FE05CF"/>
    <w:rPr>
      <w:sz w:val="20"/>
      <w:szCs w:val="20"/>
    </w:rPr>
  </w:style>
  <w:style w:type="character" w:customStyle="1" w:styleId="CommentTextChar">
    <w:name w:val="Comment Text Char"/>
    <w:basedOn w:val="DefaultParagraphFont"/>
    <w:link w:val="CommentText"/>
    <w:uiPriority w:val="99"/>
    <w:semiHidden/>
    <w:rsid w:val="00FE05CF"/>
    <w:rPr>
      <w:sz w:val="20"/>
      <w:szCs w:val="20"/>
    </w:rPr>
  </w:style>
  <w:style w:type="paragraph" w:styleId="CommentSubject">
    <w:name w:val="annotation subject"/>
    <w:basedOn w:val="CommentText"/>
    <w:next w:val="CommentText"/>
    <w:link w:val="CommentSubjectChar"/>
    <w:uiPriority w:val="99"/>
    <w:semiHidden/>
    <w:unhideWhenUsed/>
    <w:rsid w:val="00FE05CF"/>
    <w:rPr>
      <w:b/>
      <w:bCs/>
    </w:rPr>
  </w:style>
  <w:style w:type="character" w:customStyle="1" w:styleId="CommentSubjectChar">
    <w:name w:val="Comment Subject Char"/>
    <w:basedOn w:val="CommentTextChar"/>
    <w:link w:val="CommentSubject"/>
    <w:uiPriority w:val="99"/>
    <w:semiHidden/>
    <w:rsid w:val="00FE05CF"/>
    <w:rPr>
      <w:b/>
      <w:bCs/>
      <w:sz w:val="20"/>
      <w:szCs w:val="20"/>
    </w:rPr>
  </w:style>
  <w:style w:type="paragraph" w:styleId="BalloonText">
    <w:name w:val="Balloon Text"/>
    <w:basedOn w:val="Normal"/>
    <w:link w:val="BalloonTextChar"/>
    <w:uiPriority w:val="99"/>
    <w:semiHidden/>
    <w:unhideWhenUsed/>
    <w:rsid w:val="00FE05C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5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4895</Words>
  <Characters>27902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Freedman</dc:creator>
  <cp:lastModifiedBy>Rosa Freedman</cp:lastModifiedBy>
  <cp:revision>2</cp:revision>
  <dcterms:created xsi:type="dcterms:W3CDTF">2013-12-26T15:51:00Z</dcterms:created>
  <dcterms:modified xsi:type="dcterms:W3CDTF">2013-12-26T15:51:00Z</dcterms:modified>
</cp:coreProperties>
</file>